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pacing w:line="1200" w:lineRule="exact"/>
        <w:ind w:firstLine="0" w:firstLineChars="0"/>
        <w:rPr>
          <w:rFonts w:ascii="Times New Roman" w:hAnsi="Times New Roman" w:eastAsia="仿宋_GB2312"/>
          <w:spacing w:val="3"/>
          <w:szCs w:val="32"/>
        </w:rPr>
      </w:pPr>
    </w:p>
    <w:p>
      <w:pPr>
        <w:spacing w:line="640" w:lineRule="exact"/>
        <w:jc w:val="center"/>
        <w:rPr>
          <w:rFonts w:hint="default" w:ascii="Times New Roman" w:hAnsi="Times New Roman" w:eastAsia="方正小标宋_GBK" w:cs="Times New Roman"/>
          <w:spacing w:val="20"/>
          <w:kern w:val="2"/>
          <w:sz w:val="44"/>
          <w:szCs w:val="44"/>
          <w:lang w:eastAsia="zh-CN" w:bidi="ar-SA"/>
        </w:rPr>
      </w:pPr>
      <w:r>
        <w:rPr>
          <w:rFonts w:hint="eastAsia" w:ascii="Times New Roman" w:hAnsi="Times New Roman" w:eastAsia="方正小标宋_GBK" w:cs="Times New Roman"/>
          <w:spacing w:val="20"/>
          <w:kern w:val="2"/>
          <w:sz w:val="44"/>
          <w:szCs w:val="44"/>
          <w:lang w:eastAsia="zh-CN" w:bidi="ar-SA"/>
        </w:rPr>
        <w:t>惠州仲恺高新区国有建设用地使用权</w:t>
      </w:r>
    </w:p>
    <w:p>
      <w:pPr>
        <w:spacing w:line="640" w:lineRule="exact"/>
        <w:jc w:val="center"/>
        <w:rPr>
          <w:rFonts w:hint="default" w:ascii="Times New Roman" w:hAnsi="Times New Roman" w:eastAsia="方正小标宋_GBK" w:cs="Times New Roman"/>
          <w:spacing w:val="20"/>
          <w:kern w:val="2"/>
          <w:sz w:val="44"/>
          <w:szCs w:val="44"/>
          <w:lang w:eastAsia="zh-CN" w:bidi="ar-SA"/>
        </w:rPr>
      </w:pPr>
      <w:r>
        <w:rPr>
          <w:rFonts w:hint="eastAsia" w:ascii="Times New Roman" w:hAnsi="Times New Roman" w:eastAsia="方正小标宋_GBK" w:cs="Times New Roman"/>
          <w:spacing w:val="20"/>
          <w:kern w:val="2"/>
          <w:sz w:val="44"/>
          <w:szCs w:val="44"/>
          <w:lang w:eastAsia="zh-CN" w:bidi="ar-SA"/>
        </w:rPr>
        <w:t>网上挂牌出让公告</w:t>
      </w:r>
    </w:p>
    <w:p>
      <w:pPr>
        <w:spacing w:line="560" w:lineRule="exact"/>
        <w:jc w:val="center"/>
        <w:rPr>
          <w:rFonts w:eastAsia="仿宋_GB2312"/>
          <w:color w:val="auto"/>
          <w:sz w:val="32"/>
          <w:szCs w:val="32"/>
        </w:rPr>
      </w:pPr>
      <w:r>
        <w:rPr>
          <w:rFonts w:eastAsia="仿宋_GB2312"/>
          <w:color w:val="auto"/>
          <w:sz w:val="32"/>
          <w:szCs w:val="32"/>
        </w:rPr>
        <w:t>惠仲土挂告[</w:t>
      </w:r>
      <w:r>
        <w:rPr>
          <w:rFonts w:hint="eastAsia" w:eastAsia="仿宋_GB2312"/>
          <w:color w:val="auto"/>
          <w:sz w:val="32"/>
          <w:szCs w:val="32"/>
          <w:lang w:eastAsia="zh-CN"/>
        </w:rPr>
        <w:t>2023</w:t>
      </w:r>
      <w:r>
        <w:rPr>
          <w:rFonts w:eastAsia="仿宋_GB2312"/>
          <w:color w:val="auto"/>
          <w:sz w:val="32"/>
          <w:szCs w:val="32"/>
        </w:rPr>
        <w:t>]</w:t>
      </w:r>
      <w:r>
        <w:rPr>
          <w:rFonts w:hint="eastAsia" w:eastAsia="仿宋_GB2312"/>
          <w:color w:val="auto"/>
          <w:sz w:val="32"/>
          <w:szCs w:val="32"/>
          <w:lang w:eastAsia="zh-CN"/>
        </w:rPr>
        <w:t>004</w:t>
      </w:r>
      <w:r>
        <w:rPr>
          <w:rFonts w:eastAsia="仿宋_GB2312"/>
          <w:color w:val="auto"/>
          <w:sz w:val="32"/>
          <w:szCs w:val="32"/>
        </w:rPr>
        <w:t>号</w:t>
      </w:r>
    </w:p>
    <w:p>
      <w:pPr>
        <w:spacing w:line="560" w:lineRule="exact"/>
        <w:ind w:firstLine="640" w:firstLineChars="200"/>
        <w:rPr>
          <w:rFonts w:eastAsia="仿宋_GB2312"/>
          <w:color w:val="auto"/>
          <w:sz w:val="32"/>
          <w:szCs w:val="32"/>
        </w:rPr>
      </w:pPr>
    </w:p>
    <w:p>
      <w:pPr>
        <w:pStyle w:val="9"/>
        <w:spacing w:line="520" w:lineRule="exact"/>
        <w:ind w:firstLine="640" w:firstLineChars="200"/>
        <w:jc w:val="both"/>
        <w:rPr>
          <w:rFonts w:ascii="Times New Roman" w:hAnsi="Times New Roman" w:eastAsia="仿宋_GB2312" w:cs="Times New Roman"/>
          <w:sz w:val="32"/>
          <w:szCs w:val="32"/>
        </w:rPr>
      </w:pPr>
      <w:bookmarkStart w:id="0" w:name="bookmark3"/>
      <w:r>
        <w:rPr>
          <w:rFonts w:ascii="Times New Roman" w:hAnsi="Times New Roman" w:eastAsia="仿宋_GB2312" w:cs="Times New Roman"/>
          <w:sz w:val="32"/>
          <w:szCs w:val="32"/>
        </w:rPr>
        <w:t>根据《招标拍卖挂牌出让国有建设用地使用权规定》（国土资源部令第39号）和《广东省土地使用权交易市场管理规定》（广东省人民政府令第79号）的规定，经批准，我局决定以网上挂牌方式公开出让下列</w:t>
      </w:r>
      <w:r>
        <w:rPr>
          <w:rFonts w:hint="eastAsia" w:ascii="Times New Roman" w:hAnsi="Times New Roman" w:eastAsia="仿宋_GB2312" w:cs="Times New Roman"/>
          <w:sz w:val="32"/>
          <w:szCs w:val="32"/>
          <w:lang w:val="en-US" w:eastAsia="zh-CN"/>
        </w:rPr>
        <w:t>4宗</w:t>
      </w:r>
      <w:r>
        <w:rPr>
          <w:rFonts w:ascii="Times New Roman" w:hAnsi="Times New Roman" w:eastAsia="仿宋_GB2312" w:cs="Times New Roman"/>
          <w:sz w:val="32"/>
          <w:szCs w:val="32"/>
        </w:rPr>
        <w:t>国有建设用地使用权。现将有关事项公告如下：</w:t>
      </w:r>
    </w:p>
    <w:bookmarkEnd w:id="0"/>
    <w:p>
      <w:pPr>
        <w:pStyle w:val="9"/>
        <w:tabs>
          <w:tab w:val="left" w:pos="1326"/>
        </w:tabs>
        <w:spacing w:line="520" w:lineRule="exact"/>
        <w:ind w:firstLine="660"/>
        <w:jc w:val="both"/>
        <w:rPr>
          <w:rFonts w:ascii="Times New Roman" w:hAnsi="Times New Roman" w:eastAsia="黑体" w:cs="Times New Roman"/>
          <w:sz w:val="32"/>
          <w:szCs w:val="32"/>
        </w:rPr>
      </w:pPr>
      <w:bookmarkStart w:id="1" w:name="bookmark6"/>
      <w:r>
        <w:rPr>
          <w:rFonts w:ascii="Times New Roman" w:hAnsi="Times New Roman" w:eastAsia="黑体" w:cs="Times New Roman"/>
          <w:sz w:val="32"/>
          <w:szCs w:val="32"/>
        </w:rPr>
        <w:t>一、网上挂牌出让地块基本情况及规划指标要求</w:t>
      </w:r>
      <w:r>
        <w:rPr>
          <w:rFonts w:ascii="Times New Roman" w:hAnsi="Times New Roman" w:eastAsia="仿宋_GB2312" w:cs="Times New Roman"/>
          <w:sz w:val="32"/>
          <w:szCs w:val="32"/>
          <w:lang w:val="en-US" w:eastAsia="zh-CN"/>
        </w:rPr>
        <w:t>（见附表）</w:t>
      </w:r>
    </w:p>
    <w:p>
      <w:pPr>
        <w:pStyle w:val="9"/>
        <w:tabs>
          <w:tab w:val="left" w:pos="1326"/>
        </w:tabs>
        <w:spacing w:line="520" w:lineRule="exact"/>
        <w:ind w:firstLine="660"/>
        <w:jc w:val="both"/>
        <w:rPr>
          <w:rFonts w:ascii="Times New Roman" w:hAnsi="Times New Roman" w:eastAsia="仿宋_GB2312" w:cs="Times New Roman"/>
          <w:sz w:val="32"/>
          <w:szCs w:val="32"/>
          <w:lang w:val="en-US" w:eastAsia="zh-CN"/>
        </w:rPr>
      </w:pPr>
      <w:bookmarkStart w:id="2" w:name="bookmark4"/>
      <w:r>
        <w:rPr>
          <w:rFonts w:ascii="Times New Roman" w:hAnsi="Times New Roman" w:eastAsia="黑体" w:cs="Times New Roman"/>
          <w:sz w:val="32"/>
          <w:szCs w:val="32"/>
        </w:rPr>
        <w:t>二</w:t>
      </w:r>
      <w:bookmarkEnd w:id="2"/>
      <w:r>
        <w:rPr>
          <w:rFonts w:ascii="Times New Roman" w:hAnsi="Times New Roman" w:eastAsia="黑体" w:cs="Times New Roman"/>
          <w:sz w:val="32"/>
          <w:szCs w:val="32"/>
        </w:rPr>
        <w:t>、挂牌起始价及加价幅度</w:t>
      </w:r>
      <w:bookmarkStart w:id="3" w:name="bookmark5"/>
      <w:r>
        <w:rPr>
          <w:rFonts w:ascii="Times New Roman" w:hAnsi="Times New Roman" w:eastAsia="仿宋_GB2312" w:cs="Times New Roman"/>
          <w:sz w:val="32"/>
          <w:szCs w:val="32"/>
          <w:lang w:val="en-US" w:eastAsia="zh-CN"/>
        </w:rPr>
        <w:t>（见附表）</w:t>
      </w:r>
    </w:p>
    <w:p>
      <w:pPr>
        <w:pStyle w:val="9"/>
        <w:tabs>
          <w:tab w:val="left" w:pos="1326"/>
        </w:tabs>
        <w:spacing w:line="520" w:lineRule="exact"/>
        <w:ind w:firstLine="660"/>
        <w:jc w:val="both"/>
        <w:rPr>
          <w:rFonts w:ascii="Times New Roman" w:hAnsi="Times New Roman" w:eastAsia="黑体" w:cs="Times New Roman"/>
          <w:sz w:val="32"/>
          <w:szCs w:val="32"/>
        </w:rPr>
      </w:pPr>
      <w:r>
        <w:rPr>
          <w:rFonts w:ascii="Times New Roman" w:hAnsi="Times New Roman" w:eastAsia="黑体" w:cs="Times New Roman"/>
          <w:sz w:val="32"/>
          <w:szCs w:val="32"/>
        </w:rPr>
        <w:t>三</w:t>
      </w:r>
      <w:bookmarkEnd w:id="3"/>
      <w:r>
        <w:rPr>
          <w:rFonts w:ascii="Times New Roman" w:hAnsi="Times New Roman" w:eastAsia="黑体" w:cs="Times New Roman"/>
          <w:sz w:val="32"/>
          <w:szCs w:val="32"/>
        </w:rPr>
        <w:t>、时间安排</w:t>
      </w:r>
    </w:p>
    <w:bookmarkEnd w:id="1"/>
    <w:p>
      <w:pPr>
        <w:pStyle w:val="9"/>
        <w:tabs>
          <w:tab w:val="left" w:pos="1498"/>
        </w:tabs>
        <w:spacing w:line="520" w:lineRule="exact"/>
        <w:ind w:firstLine="66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（一）公告时间：</w:t>
      </w:r>
      <w:r>
        <w:rPr>
          <w:rFonts w:hint="eastAsia" w:ascii="Times New Roman" w:hAnsi="Times New Roman" w:eastAsia="仿宋_GB2312" w:cs="Times New Roman"/>
          <w:sz w:val="32"/>
          <w:szCs w:val="32"/>
          <w:lang w:val="en-US" w:eastAsia="zh-CN"/>
        </w:rPr>
        <w:t>2023</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1</w:t>
      </w:r>
      <w:r>
        <w:rPr>
          <w:rFonts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19</w:t>
      </w:r>
      <w:r>
        <w:rPr>
          <w:rFonts w:ascii="Times New Roman" w:hAnsi="Times New Roman" w:eastAsia="仿宋_GB2312" w:cs="Times New Roman"/>
          <w:sz w:val="32"/>
          <w:szCs w:val="32"/>
        </w:rPr>
        <w:t>日至202</w:t>
      </w:r>
      <w:r>
        <w:rPr>
          <w:rFonts w:hint="eastAsia" w:ascii="Times New Roman" w:hAnsi="Times New Roman" w:eastAsia="仿宋_GB2312" w:cs="Times New Roman"/>
          <w:sz w:val="32"/>
          <w:szCs w:val="32"/>
          <w:lang w:val="en-US" w:eastAsia="zh-CN"/>
        </w:rPr>
        <w:t>3</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2</w:t>
      </w:r>
      <w:r>
        <w:rPr>
          <w:rFonts w:ascii="Times New Roman" w:hAnsi="Times New Roman" w:eastAsia="仿宋_GB2312" w:cs="Times New Roman"/>
          <w:sz w:val="32"/>
          <w:szCs w:val="32"/>
        </w:rPr>
        <w:t>月</w:t>
      </w:r>
      <w:r>
        <w:rPr>
          <w:rFonts w:ascii="Times New Roman" w:hAnsi="Times New Roman" w:eastAsia="仿宋_GB2312" w:cs="Times New Roman"/>
          <w:sz w:val="32"/>
          <w:szCs w:val="32"/>
          <w:lang w:val="en-US" w:eastAsia="zh-CN"/>
        </w:rPr>
        <w:t>8</w:t>
      </w:r>
      <w:r>
        <w:rPr>
          <w:rFonts w:ascii="Times New Roman" w:hAnsi="Times New Roman" w:eastAsia="仿宋_GB2312" w:cs="Times New Roman"/>
          <w:sz w:val="32"/>
          <w:szCs w:val="32"/>
        </w:rPr>
        <w:t>日。</w:t>
      </w:r>
    </w:p>
    <w:p>
      <w:pPr>
        <w:pStyle w:val="9"/>
        <w:tabs>
          <w:tab w:val="left" w:pos="1635"/>
        </w:tabs>
        <w:spacing w:line="520" w:lineRule="exact"/>
        <w:ind w:firstLine="66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（二）网上挂牌竞买时间：202</w:t>
      </w:r>
      <w:r>
        <w:rPr>
          <w:rFonts w:hint="eastAsia" w:ascii="Times New Roman" w:hAnsi="Times New Roman" w:eastAsia="仿宋_GB2312" w:cs="Times New Roman"/>
          <w:sz w:val="32"/>
          <w:szCs w:val="32"/>
          <w:lang w:val="en-US" w:eastAsia="zh-CN"/>
        </w:rPr>
        <w:t>3</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2</w:t>
      </w:r>
      <w:r>
        <w:rPr>
          <w:rFonts w:ascii="Times New Roman" w:hAnsi="Times New Roman" w:eastAsia="仿宋_GB2312" w:cs="Times New Roman"/>
          <w:sz w:val="32"/>
          <w:szCs w:val="32"/>
        </w:rPr>
        <w:t>月</w:t>
      </w:r>
      <w:r>
        <w:rPr>
          <w:rFonts w:ascii="Times New Roman" w:hAnsi="Times New Roman" w:eastAsia="仿宋_GB2312" w:cs="Times New Roman"/>
          <w:sz w:val="32"/>
          <w:szCs w:val="32"/>
          <w:lang w:val="en-US" w:eastAsia="zh-CN"/>
        </w:rPr>
        <w:t>8</w:t>
      </w:r>
      <w:r>
        <w:rPr>
          <w:rFonts w:ascii="Times New Roman" w:hAnsi="Times New Roman" w:eastAsia="仿宋_GB2312" w:cs="Times New Roman"/>
          <w:sz w:val="32"/>
          <w:szCs w:val="32"/>
        </w:rPr>
        <w:t>日9时至202</w:t>
      </w:r>
      <w:r>
        <w:rPr>
          <w:rFonts w:hint="eastAsia" w:ascii="Times New Roman" w:hAnsi="Times New Roman" w:eastAsia="仿宋_GB2312" w:cs="Times New Roman"/>
          <w:sz w:val="32"/>
          <w:szCs w:val="32"/>
          <w:lang w:val="en-US" w:eastAsia="zh-CN"/>
        </w:rPr>
        <w:t>3</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2</w:t>
      </w:r>
      <w:r>
        <w:rPr>
          <w:rFonts w:ascii="Times New Roman" w:hAnsi="Times New Roman" w:eastAsia="仿宋_GB2312" w:cs="Times New Roman"/>
          <w:sz w:val="32"/>
          <w:szCs w:val="32"/>
        </w:rPr>
        <w:t>月</w:t>
      </w:r>
      <w:r>
        <w:rPr>
          <w:rFonts w:ascii="Times New Roman" w:hAnsi="Times New Roman" w:eastAsia="仿宋_GB2312" w:cs="Times New Roman"/>
          <w:sz w:val="32"/>
          <w:szCs w:val="32"/>
          <w:lang w:val="en-US" w:eastAsia="zh-CN"/>
        </w:rPr>
        <w:t>22</w:t>
      </w:r>
      <w:r>
        <w:rPr>
          <w:rFonts w:ascii="Times New Roman" w:hAnsi="Times New Roman" w:eastAsia="仿宋_GB2312" w:cs="Times New Roman"/>
          <w:sz w:val="32"/>
          <w:szCs w:val="32"/>
        </w:rPr>
        <w:t>日10时。</w:t>
      </w:r>
    </w:p>
    <w:p>
      <w:pPr>
        <w:pStyle w:val="9"/>
        <w:tabs>
          <w:tab w:val="left" w:pos="1640"/>
        </w:tabs>
        <w:spacing w:line="520" w:lineRule="exact"/>
        <w:ind w:firstLine="66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（三）竞买保证金到账截止时间为：202</w:t>
      </w:r>
      <w:r>
        <w:rPr>
          <w:rFonts w:hint="eastAsia" w:ascii="Times New Roman" w:hAnsi="Times New Roman" w:eastAsia="仿宋_GB2312" w:cs="Times New Roman"/>
          <w:sz w:val="32"/>
          <w:szCs w:val="32"/>
          <w:lang w:val="en-US" w:eastAsia="zh-CN"/>
        </w:rPr>
        <w:t>3</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2</w:t>
      </w:r>
      <w:r>
        <w:rPr>
          <w:rFonts w:ascii="Times New Roman" w:hAnsi="Times New Roman" w:eastAsia="仿宋_GB2312" w:cs="Times New Roman"/>
          <w:sz w:val="32"/>
          <w:szCs w:val="32"/>
        </w:rPr>
        <w:t>月</w:t>
      </w:r>
      <w:r>
        <w:rPr>
          <w:rFonts w:ascii="Times New Roman" w:hAnsi="Times New Roman" w:eastAsia="仿宋_GB2312" w:cs="Times New Roman"/>
          <w:sz w:val="32"/>
          <w:szCs w:val="32"/>
          <w:lang w:val="en-US" w:eastAsia="zh-CN"/>
        </w:rPr>
        <w:t>22</w:t>
      </w:r>
      <w:r>
        <w:rPr>
          <w:rFonts w:ascii="Times New Roman" w:hAnsi="Times New Roman" w:eastAsia="仿宋_GB2312" w:cs="Times New Roman"/>
          <w:sz w:val="32"/>
          <w:szCs w:val="32"/>
        </w:rPr>
        <w:t>日9时。</w:t>
      </w:r>
    </w:p>
    <w:p>
      <w:pPr>
        <w:pStyle w:val="9"/>
        <w:tabs>
          <w:tab w:val="left" w:pos="1326"/>
        </w:tabs>
        <w:spacing w:line="520" w:lineRule="exact"/>
        <w:ind w:firstLine="660"/>
        <w:jc w:val="both"/>
        <w:rPr>
          <w:rFonts w:ascii="Times New Roman" w:hAnsi="Times New Roman" w:eastAsia="黑体" w:cs="Times New Roman"/>
          <w:sz w:val="32"/>
          <w:szCs w:val="32"/>
        </w:rPr>
      </w:pPr>
      <w:bookmarkStart w:id="4" w:name="bookmark9"/>
      <w:r>
        <w:rPr>
          <w:rFonts w:ascii="Times New Roman" w:hAnsi="Times New Roman" w:eastAsia="黑体" w:cs="Times New Roman"/>
          <w:sz w:val="32"/>
          <w:szCs w:val="32"/>
        </w:rPr>
        <w:t>四</w:t>
      </w:r>
      <w:bookmarkEnd w:id="4"/>
      <w:r>
        <w:rPr>
          <w:rFonts w:ascii="Times New Roman" w:hAnsi="Times New Roman" w:eastAsia="黑体" w:cs="Times New Roman"/>
          <w:sz w:val="32"/>
          <w:szCs w:val="32"/>
        </w:rPr>
        <w:t>、竞买资格及要求</w:t>
      </w:r>
    </w:p>
    <w:p>
      <w:pPr>
        <w:pStyle w:val="9"/>
        <w:spacing w:line="520" w:lineRule="exact"/>
        <w:ind w:firstLine="66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rPr>
        <w:t>中华人民共和国境内外的法人和其他组织（除法律法规另有规定外）具备本条规定条件的，均可申请参加竞买。申请人可以单独申请，也可以联合申请，竞买申请人必须同时具备下列条件</w:t>
      </w:r>
      <w:r>
        <w:rPr>
          <w:rFonts w:hint="eastAsia" w:ascii="Times New Roman" w:hAnsi="Times New Roman" w:eastAsia="仿宋_GB2312" w:cs="Times New Roman"/>
          <w:sz w:val="32"/>
          <w:szCs w:val="32"/>
          <w:lang w:eastAsia="zh-CN"/>
        </w:rPr>
        <w:t>：</w:t>
      </w:r>
    </w:p>
    <w:p>
      <w:pPr>
        <w:pStyle w:val="9"/>
        <w:tabs>
          <w:tab w:val="left" w:pos="1515"/>
        </w:tabs>
        <w:spacing w:line="520" w:lineRule="exact"/>
        <w:ind w:firstLine="640"/>
        <w:jc w:val="both"/>
        <w:rPr>
          <w:rFonts w:ascii="Times New Roman" w:hAnsi="Times New Roman" w:eastAsia="仿宋_GB2312" w:cs="Times New Roman"/>
          <w:sz w:val="32"/>
          <w:szCs w:val="32"/>
        </w:rPr>
      </w:pPr>
      <w:bookmarkStart w:id="5" w:name="bookmark10"/>
      <w:r>
        <w:rPr>
          <w:rFonts w:ascii="Times New Roman" w:hAnsi="Times New Roman" w:eastAsia="仿宋_GB2312" w:cs="Times New Roman"/>
          <w:sz w:val="32"/>
          <w:szCs w:val="32"/>
        </w:rPr>
        <w:t>（</w:t>
      </w:r>
      <w:bookmarkEnd w:id="5"/>
      <w:r>
        <w:rPr>
          <w:rFonts w:ascii="Times New Roman" w:hAnsi="Times New Roman" w:eastAsia="仿宋_GB2312" w:cs="Times New Roman"/>
          <w:sz w:val="32"/>
          <w:szCs w:val="32"/>
        </w:rPr>
        <w:t>一）</w:t>
      </w:r>
      <w:r>
        <w:rPr>
          <w:rFonts w:ascii="Times New Roman" w:hAnsi="Times New Roman" w:eastAsia="仿宋_GB2312" w:cs="Times New Roman"/>
          <w:sz w:val="32"/>
          <w:szCs w:val="32"/>
          <w:lang w:val="en-US" w:eastAsia="zh-CN"/>
        </w:rPr>
        <w:t>缴纳足额</w:t>
      </w:r>
      <w:r>
        <w:rPr>
          <w:rFonts w:ascii="Times New Roman" w:hAnsi="Times New Roman" w:eastAsia="仿宋_GB2312" w:cs="Times New Roman"/>
          <w:sz w:val="32"/>
          <w:szCs w:val="32"/>
        </w:rPr>
        <w:t>竞买保证金；</w:t>
      </w:r>
    </w:p>
    <w:p>
      <w:pPr>
        <w:pStyle w:val="9"/>
        <w:tabs>
          <w:tab w:val="left" w:pos="1611"/>
        </w:tabs>
        <w:spacing w:line="520" w:lineRule="exact"/>
        <w:ind w:firstLine="640"/>
        <w:jc w:val="both"/>
        <w:rPr>
          <w:rFonts w:ascii="Times New Roman" w:hAnsi="Times New Roman" w:eastAsia="仿宋_GB2312" w:cs="Times New Roman"/>
          <w:sz w:val="32"/>
          <w:szCs w:val="32"/>
        </w:rPr>
      </w:pPr>
      <w:bookmarkStart w:id="6" w:name="bookmark11"/>
      <w:r>
        <w:rPr>
          <w:rFonts w:ascii="Times New Roman" w:hAnsi="Times New Roman" w:eastAsia="仿宋_GB2312" w:cs="Times New Roman"/>
          <w:sz w:val="32"/>
          <w:szCs w:val="32"/>
        </w:rPr>
        <w:t>（</w:t>
      </w:r>
      <w:bookmarkEnd w:id="6"/>
      <w:r>
        <w:rPr>
          <w:rFonts w:ascii="Times New Roman" w:hAnsi="Times New Roman" w:eastAsia="仿宋_GB2312" w:cs="Times New Roman"/>
          <w:sz w:val="32"/>
          <w:szCs w:val="32"/>
        </w:rPr>
        <w:t>二）拖欠地价款、闲置土地、囤地炒地</w:t>
      </w:r>
      <w:r>
        <w:rPr>
          <w:rFonts w:ascii="Times New Roman" w:hAnsi="Times New Roman" w:eastAsia="仿宋_GB2312" w:cs="Times New Roman"/>
          <w:sz w:val="32"/>
          <w:szCs w:val="32"/>
          <w:lang w:eastAsia="zh-CN"/>
        </w:rPr>
        <w:t>、</w:t>
      </w:r>
      <w:r>
        <w:rPr>
          <w:rFonts w:ascii="Times New Roman" w:hAnsi="Times New Roman" w:eastAsia="仿宋_GB2312" w:cs="Times New Roman"/>
          <w:sz w:val="32"/>
          <w:szCs w:val="32"/>
          <w:lang w:val="en-US" w:eastAsia="zh-CN"/>
        </w:rPr>
        <w:t>有违法或不良信用记录</w:t>
      </w:r>
      <w:r>
        <w:rPr>
          <w:rFonts w:ascii="Times New Roman" w:hAnsi="Times New Roman" w:eastAsia="仿宋_GB2312" w:cs="Times New Roman"/>
          <w:sz w:val="32"/>
          <w:szCs w:val="32"/>
        </w:rPr>
        <w:t>的企业及其控股股东不得参与竞买。</w:t>
      </w:r>
    </w:p>
    <w:p>
      <w:pPr>
        <w:pStyle w:val="9"/>
        <w:tabs>
          <w:tab w:val="left" w:pos="1326"/>
        </w:tabs>
        <w:spacing w:line="520" w:lineRule="exact"/>
        <w:ind w:firstLine="660"/>
        <w:jc w:val="both"/>
        <w:rPr>
          <w:rFonts w:ascii="Times New Roman" w:hAnsi="Times New Roman" w:eastAsia="黑体" w:cs="Times New Roman"/>
          <w:sz w:val="32"/>
          <w:szCs w:val="32"/>
        </w:rPr>
      </w:pPr>
      <w:r>
        <w:rPr>
          <w:rFonts w:ascii="Times New Roman" w:hAnsi="Times New Roman" w:eastAsia="黑体" w:cs="Times New Roman"/>
          <w:sz w:val="32"/>
          <w:szCs w:val="32"/>
          <w:lang w:val="en-US" w:eastAsia="zh-CN"/>
        </w:rPr>
        <w:t>五</w:t>
      </w:r>
      <w:r>
        <w:rPr>
          <w:rFonts w:ascii="Times New Roman" w:hAnsi="Times New Roman" w:eastAsia="黑体" w:cs="Times New Roman"/>
          <w:sz w:val="32"/>
          <w:szCs w:val="32"/>
        </w:rPr>
        <w:t>、竞买保证金</w:t>
      </w:r>
    </w:p>
    <w:p>
      <w:pPr>
        <w:pStyle w:val="9"/>
        <w:tabs>
          <w:tab w:val="left" w:pos="1283"/>
        </w:tabs>
        <w:spacing w:line="520" w:lineRule="exact"/>
        <w:ind w:firstLine="640" w:firstLineChars="200"/>
        <w:jc w:val="both"/>
        <w:rPr>
          <w:rFonts w:ascii="Times New Roman" w:hAnsi="Times New Roman" w:eastAsia="仿宋_GB2312" w:cs="Times New Roman"/>
          <w:sz w:val="32"/>
          <w:szCs w:val="32"/>
          <w:lang w:eastAsia="zh-CN"/>
        </w:rPr>
      </w:pPr>
      <w:bookmarkStart w:id="7" w:name="bookmark18"/>
      <w:r>
        <w:rPr>
          <w:rFonts w:ascii="Times New Roman" w:hAnsi="Times New Roman" w:eastAsia="仿宋_GB2312" w:cs="Times New Roman"/>
          <w:sz w:val="32"/>
          <w:szCs w:val="32"/>
        </w:rPr>
        <w:t>（</w:t>
      </w:r>
      <w:bookmarkEnd w:id="7"/>
      <w:r>
        <w:rPr>
          <w:rFonts w:ascii="Times New Roman" w:hAnsi="Times New Roman" w:eastAsia="仿宋_GB2312" w:cs="Times New Roman"/>
          <w:sz w:val="32"/>
          <w:szCs w:val="32"/>
        </w:rPr>
        <w:t>一）</w:t>
      </w:r>
      <w:r>
        <w:rPr>
          <w:rFonts w:ascii="Times New Roman" w:hAnsi="Times New Roman" w:eastAsia="仿宋_GB2312" w:cs="Times New Roman"/>
          <w:sz w:val="32"/>
          <w:szCs w:val="32"/>
          <w:lang w:val="en-US" w:eastAsia="zh-CN"/>
        </w:rPr>
        <w:t>本公告</w:t>
      </w:r>
      <w:r>
        <w:rPr>
          <w:rFonts w:hint="eastAsia" w:ascii="Times New Roman" w:hAnsi="Times New Roman" w:eastAsia="仿宋_GB2312" w:cs="Times New Roman"/>
          <w:sz w:val="32"/>
          <w:szCs w:val="32"/>
          <w:lang w:val="en-US" w:eastAsia="zh-CN"/>
        </w:rPr>
        <w:t>4宗</w:t>
      </w:r>
      <w:r>
        <w:rPr>
          <w:rFonts w:ascii="Times New Roman" w:hAnsi="Times New Roman" w:eastAsia="仿宋_GB2312" w:cs="Times New Roman"/>
          <w:sz w:val="32"/>
          <w:szCs w:val="32"/>
          <w:lang w:val="en-US" w:eastAsia="zh-CN"/>
        </w:rPr>
        <w:t>地块</w:t>
      </w:r>
      <w:r>
        <w:rPr>
          <w:rFonts w:ascii="Times New Roman" w:hAnsi="Times New Roman" w:eastAsia="仿宋_GB2312" w:cs="Times New Roman"/>
          <w:sz w:val="32"/>
          <w:szCs w:val="32"/>
        </w:rPr>
        <w:t>竞买保证金</w:t>
      </w:r>
      <w:r>
        <w:rPr>
          <w:rFonts w:ascii="Times New Roman" w:hAnsi="Times New Roman" w:eastAsia="仿宋_GB2312" w:cs="Times New Roman"/>
          <w:sz w:val="32"/>
          <w:szCs w:val="32"/>
          <w:lang w:val="en-US" w:eastAsia="zh-CN"/>
        </w:rPr>
        <w:t>详见附表</w:t>
      </w:r>
      <w:r>
        <w:rPr>
          <w:rFonts w:ascii="Times New Roman" w:hAnsi="Times New Roman" w:eastAsia="仿宋_GB2312" w:cs="Times New Roman"/>
          <w:sz w:val="32"/>
          <w:szCs w:val="32"/>
          <w:lang w:eastAsia="zh-CN"/>
        </w:rPr>
        <w:t>；</w:t>
      </w:r>
    </w:p>
    <w:p>
      <w:pPr>
        <w:pStyle w:val="9"/>
        <w:tabs>
          <w:tab w:val="left" w:pos="1283"/>
        </w:tabs>
        <w:spacing w:line="520" w:lineRule="exact"/>
        <w:ind w:firstLine="640" w:firstLineChars="200"/>
        <w:jc w:val="both"/>
        <w:rPr>
          <w:rFonts w:ascii="Times New Roman" w:hAnsi="Times New Roman" w:eastAsia="仿宋_GB2312" w:cs="Times New Roman"/>
          <w:sz w:val="32"/>
          <w:szCs w:val="32"/>
          <w:lang w:eastAsia="zh-CN"/>
        </w:rPr>
      </w:pPr>
      <w:bookmarkStart w:id="8" w:name="bookmark19"/>
      <w:r>
        <w:rPr>
          <w:rFonts w:ascii="Times New Roman" w:hAnsi="Times New Roman" w:eastAsia="仿宋_GB2312" w:cs="Times New Roman"/>
          <w:sz w:val="32"/>
          <w:szCs w:val="32"/>
        </w:rPr>
        <w:t>（</w:t>
      </w:r>
      <w:bookmarkEnd w:id="8"/>
      <w:r>
        <w:rPr>
          <w:rFonts w:ascii="Times New Roman" w:hAnsi="Times New Roman" w:eastAsia="仿宋_GB2312" w:cs="Times New Roman"/>
          <w:sz w:val="32"/>
          <w:szCs w:val="32"/>
        </w:rPr>
        <w:t>二）申请人应当在网上挂牌出让竞买保证金到账截止时间前登录惠州市公共资源交易中心土地与矿业网上挂牌交易系统（以下简称</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网上挂牌交易系统</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，网址：</w:t>
      </w:r>
      <w:r>
        <w:rPr>
          <w:rFonts w:ascii="Times New Roman" w:hAnsi="Times New Roman" w:eastAsia="仿宋_GB2312" w:cs="Times New Roman"/>
          <w:sz w:val="32"/>
          <w:szCs w:val="32"/>
          <w:lang w:val="en-US" w:eastAsia="en-US"/>
        </w:rPr>
        <w:t>https://www.hzgtjy.com/</w:t>
      </w:r>
      <w:r>
        <w:rPr>
          <w:rFonts w:ascii="Times New Roman" w:hAnsi="Times New Roman" w:eastAsia="仿宋_GB2312" w:cs="Times New Roman"/>
          <w:sz w:val="32"/>
          <w:szCs w:val="32"/>
        </w:rPr>
        <w:t>）获取竞买保证金支付账号</w:t>
      </w:r>
      <w:r>
        <w:rPr>
          <w:rFonts w:ascii="Times New Roman" w:hAnsi="Times New Roman" w:eastAsia="仿宋_GB2312" w:cs="Times New Roman"/>
          <w:sz w:val="32"/>
          <w:szCs w:val="32"/>
          <w:lang w:eastAsia="zh-CN"/>
        </w:rPr>
        <w:t>；</w:t>
      </w:r>
    </w:p>
    <w:p>
      <w:pPr>
        <w:pStyle w:val="9"/>
        <w:tabs>
          <w:tab w:val="left" w:pos="1283"/>
        </w:tabs>
        <w:spacing w:line="520" w:lineRule="exact"/>
        <w:ind w:firstLine="640" w:firstLineChars="200"/>
        <w:jc w:val="both"/>
        <w:rPr>
          <w:rFonts w:ascii="Times New Roman" w:hAnsi="Times New Roman" w:eastAsia="仿宋_GB2312" w:cs="Times New Roman"/>
          <w:sz w:val="32"/>
          <w:szCs w:val="32"/>
        </w:rPr>
      </w:pPr>
      <w:bookmarkStart w:id="9" w:name="bookmark20"/>
      <w:r>
        <w:rPr>
          <w:rFonts w:ascii="Times New Roman" w:hAnsi="Times New Roman" w:eastAsia="仿宋_GB2312" w:cs="Times New Roman"/>
          <w:sz w:val="32"/>
          <w:szCs w:val="32"/>
        </w:rPr>
        <w:t>（</w:t>
      </w:r>
      <w:bookmarkEnd w:id="9"/>
      <w:r>
        <w:rPr>
          <w:rFonts w:ascii="Times New Roman" w:hAnsi="Times New Roman" w:eastAsia="仿宋_GB2312" w:cs="Times New Roman"/>
          <w:sz w:val="32"/>
          <w:szCs w:val="32"/>
        </w:rPr>
        <w:t>三）竞买保证金到账时间以网上挂牌交易系统确认并发出《保证金到账通知书》为准。</w:t>
      </w:r>
    </w:p>
    <w:p>
      <w:pPr>
        <w:pStyle w:val="9"/>
        <w:tabs>
          <w:tab w:val="left" w:pos="1326"/>
        </w:tabs>
        <w:spacing w:line="520" w:lineRule="exact"/>
        <w:ind w:firstLine="660"/>
        <w:jc w:val="both"/>
        <w:rPr>
          <w:rFonts w:ascii="Times New Roman" w:hAnsi="Times New Roman" w:eastAsia="黑体" w:cs="Times New Roman"/>
          <w:sz w:val="32"/>
          <w:szCs w:val="32"/>
        </w:rPr>
      </w:pPr>
      <w:r>
        <w:rPr>
          <w:rFonts w:ascii="Times New Roman" w:hAnsi="Times New Roman" w:eastAsia="黑体" w:cs="Times New Roman"/>
          <w:sz w:val="32"/>
          <w:szCs w:val="32"/>
          <w:lang w:val="en-US" w:eastAsia="zh-CN"/>
        </w:rPr>
        <w:t>六</w:t>
      </w:r>
      <w:r>
        <w:rPr>
          <w:rFonts w:ascii="Times New Roman" w:hAnsi="Times New Roman" w:eastAsia="黑体" w:cs="Times New Roman"/>
          <w:sz w:val="32"/>
          <w:szCs w:val="32"/>
        </w:rPr>
        <w:t>、竞买申请</w:t>
      </w:r>
    </w:p>
    <w:p>
      <w:pPr>
        <w:pStyle w:val="9"/>
        <w:tabs>
          <w:tab w:val="left" w:pos="1283"/>
        </w:tabs>
        <w:spacing w:line="52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本</w:t>
      </w:r>
      <w:r>
        <w:rPr>
          <w:rFonts w:ascii="Times New Roman" w:hAnsi="Times New Roman" w:eastAsia="仿宋_GB2312" w:cs="Times New Roman"/>
          <w:sz w:val="32"/>
          <w:szCs w:val="32"/>
          <w:lang w:val="en-US" w:eastAsia="zh-CN"/>
        </w:rPr>
        <w:t>公告</w:t>
      </w:r>
      <w:r>
        <w:rPr>
          <w:rFonts w:hint="eastAsia" w:ascii="Times New Roman" w:hAnsi="Times New Roman" w:eastAsia="仿宋_GB2312" w:cs="Times New Roman"/>
          <w:sz w:val="32"/>
          <w:szCs w:val="32"/>
          <w:lang w:val="en-US" w:eastAsia="zh-CN"/>
        </w:rPr>
        <w:t>4宗</w:t>
      </w:r>
      <w:r>
        <w:rPr>
          <w:rFonts w:ascii="Times New Roman" w:hAnsi="Times New Roman" w:eastAsia="仿宋_GB2312" w:cs="Times New Roman"/>
          <w:sz w:val="32"/>
          <w:szCs w:val="32"/>
        </w:rPr>
        <w:t>国有建设用地使用权网上挂牌出让只接受网上竞买申请，即通过网上挂牌交易系统进行，不接受电话、邮寄、书面、电子邮件及口头竞买。凡办理数字证书、按要求足额交纳竞买保证金的申请人，方可参加网上挂牌交易活动。</w:t>
      </w:r>
    </w:p>
    <w:p>
      <w:pPr>
        <w:pStyle w:val="9"/>
        <w:tabs>
          <w:tab w:val="left" w:pos="1283"/>
        </w:tabs>
        <w:spacing w:line="520"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rPr>
        <w:t>本</w:t>
      </w:r>
      <w:r>
        <w:rPr>
          <w:rFonts w:ascii="Times New Roman" w:hAnsi="Times New Roman" w:eastAsia="仿宋_GB2312" w:cs="Times New Roman"/>
          <w:sz w:val="32"/>
          <w:szCs w:val="32"/>
          <w:lang w:val="en-US" w:eastAsia="zh-CN"/>
        </w:rPr>
        <w:t>公告</w:t>
      </w:r>
      <w:r>
        <w:rPr>
          <w:rFonts w:hint="eastAsia" w:ascii="Times New Roman" w:hAnsi="Times New Roman" w:eastAsia="仿宋_GB2312" w:cs="Times New Roman"/>
          <w:sz w:val="32"/>
          <w:szCs w:val="32"/>
          <w:lang w:val="en-US" w:eastAsia="zh-CN"/>
        </w:rPr>
        <w:t>4宗</w:t>
      </w:r>
      <w:r>
        <w:rPr>
          <w:rFonts w:ascii="Times New Roman" w:hAnsi="Times New Roman" w:eastAsia="仿宋_GB2312" w:cs="Times New Roman"/>
          <w:sz w:val="32"/>
          <w:szCs w:val="32"/>
        </w:rPr>
        <w:t>国有建设用地使用权网上挂牌出让实行竞买资格后置审查。竞买申请人交纳足额竞买保证金即获得竞买报价权限。</w:t>
      </w:r>
    </w:p>
    <w:p>
      <w:pPr>
        <w:pStyle w:val="9"/>
        <w:tabs>
          <w:tab w:val="left" w:pos="1326"/>
        </w:tabs>
        <w:spacing w:line="520" w:lineRule="exact"/>
        <w:ind w:firstLine="660"/>
        <w:jc w:val="both"/>
        <w:rPr>
          <w:rFonts w:ascii="Times New Roman" w:hAnsi="Times New Roman" w:eastAsia="黑体" w:cs="Times New Roman"/>
          <w:sz w:val="32"/>
          <w:szCs w:val="32"/>
        </w:rPr>
      </w:pPr>
      <w:r>
        <w:rPr>
          <w:rFonts w:ascii="Times New Roman" w:hAnsi="Times New Roman" w:eastAsia="黑体" w:cs="Times New Roman"/>
          <w:sz w:val="32"/>
          <w:szCs w:val="32"/>
          <w:lang w:val="en-US" w:eastAsia="zh-CN"/>
        </w:rPr>
        <w:t>七</w:t>
      </w:r>
      <w:r>
        <w:rPr>
          <w:rFonts w:ascii="Times New Roman" w:hAnsi="Times New Roman" w:eastAsia="黑体" w:cs="Times New Roman"/>
          <w:sz w:val="32"/>
          <w:szCs w:val="32"/>
        </w:rPr>
        <w:t>、竞买人电子报价及电子限时竞价</w:t>
      </w:r>
    </w:p>
    <w:p>
      <w:pPr>
        <w:pStyle w:val="9"/>
        <w:tabs>
          <w:tab w:val="left" w:pos="1283"/>
        </w:tabs>
        <w:spacing w:line="52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竞买人须详细阅读本宗地网上挂牌出让公告、竞买须知及网上挂牌交易系统操作指南，熟练操作网上挂牌交易系统，按竞买规则进行电子报价及电子限时竞价。</w:t>
      </w:r>
    </w:p>
    <w:p>
      <w:pPr>
        <w:pStyle w:val="9"/>
        <w:tabs>
          <w:tab w:val="left" w:pos="1326"/>
        </w:tabs>
        <w:spacing w:line="520" w:lineRule="exact"/>
        <w:ind w:firstLine="660"/>
        <w:jc w:val="both"/>
        <w:rPr>
          <w:rFonts w:ascii="Times New Roman" w:hAnsi="Times New Roman" w:eastAsia="黑体" w:cs="Times New Roman"/>
          <w:sz w:val="32"/>
          <w:szCs w:val="32"/>
        </w:rPr>
      </w:pPr>
      <w:r>
        <w:rPr>
          <w:rFonts w:ascii="Times New Roman" w:hAnsi="Times New Roman" w:eastAsia="黑体" w:cs="Times New Roman"/>
          <w:sz w:val="32"/>
          <w:szCs w:val="32"/>
          <w:lang w:val="en-US" w:eastAsia="zh-CN"/>
        </w:rPr>
        <w:t>八</w:t>
      </w:r>
      <w:r>
        <w:rPr>
          <w:rFonts w:ascii="Times New Roman" w:hAnsi="Times New Roman" w:eastAsia="黑体" w:cs="Times New Roman"/>
          <w:sz w:val="32"/>
          <w:szCs w:val="32"/>
        </w:rPr>
        <w:t>、确定成交候选人</w:t>
      </w:r>
    </w:p>
    <w:p>
      <w:pPr>
        <w:pStyle w:val="9"/>
        <w:tabs>
          <w:tab w:val="left" w:pos="1283"/>
        </w:tabs>
        <w:spacing w:line="52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本</w:t>
      </w:r>
      <w:r>
        <w:rPr>
          <w:rFonts w:ascii="Times New Roman" w:hAnsi="Times New Roman" w:eastAsia="仿宋_GB2312" w:cs="Times New Roman"/>
          <w:sz w:val="32"/>
          <w:szCs w:val="32"/>
          <w:lang w:val="en-US" w:eastAsia="zh-CN"/>
        </w:rPr>
        <w:t>公告</w:t>
      </w:r>
      <w:r>
        <w:rPr>
          <w:rFonts w:hint="eastAsia" w:ascii="Times New Roman" w:hAnsi="Times New Roman" w:eastAsia="仿宋_GB2312" w:cs="Times New Roman"/>
          <w:sz w:val="32"/>
          <w:szCs w:val="32"/>
          <w:lang w:val="en-US" w:eastAsia="zh-CN"/>
        </w:rPr>
        <w:t>4宗</w:t>
      </w:r>
      <w:r>
        <w:rPr>
          <w:rFonts w:ascii="Times New Roman" w:hAnsi="Times New Roman" w:eastAsia="仿宋_GB2312" w:cs="Times New Roman"/>
          <w:sz w:val="32"/>
          <w:szCs w:val="32"/>
        </w:rPr>
        <w:t>国有建设用地使用权网上挂牌出让为无底价挂牌采取价高者得方式出让并确定成交候选人。</w:t>
      </w:r>
    </w:p>
    <w:p>
      <w:pPr>
        <w:pStyle w:val="9"/>
        <w:tabs>
          <w:tab w:val="left" w:pos="1326"/>
        </w:tabs>
        <w:spacing w:line="520" w:lineRule="exact"/>
        <w:ind w:firstLine="660"/>
        <w:jc w:val="both"/>
        <w:rPr>
          <w:rFonts w:ascii="Times New Roman" w:hAnsi="Times New Roman" w:eastAsia="黑体" w:cs="Times New Roman"/>
          <w:sz w:val="32"/>
          <w:szCs w:val="32"/>
        </w:rPr>
      </w:pPr>
      <w:r>
        <w:rPr>
          <w:rFonts w:ascii="Times New Roman" w:hAnsi="Times New Roman" w:eastAsia="黑体" w:cs="Times New Roman"/>
          <w:sz w:val="32"/>
          <w:szCs w:val="32"/>
          <w:lang w:val="en-US" w:eastAsia="zh-CN"/>
        </w:rPr>
        <w:t>九</w:t>
      </w:r>
      <w:r>
        <w:rPr>
          <w:rFonts w:ascii="Times New Roman" w:hAnsi="Times New Roman" w:eastAsia="黑体" w:cs="Times New Roman"/>
          <w:sz w:val="32"/>
          <w:szCs w:val="32"/>
        </w:rPr>
        <w:t>、资格审查</w:t>
      </w:r>
    </w:p>
    <w:p>
      <w:pPr>
        <w:pStyle w:val="9"/>
        <w:tabs>
          <w:tab w:val="left" w:pos="1283"/>
        </w:tabs>
        <w:spacing w:line="52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成交候选人应在网上挂牌交易系统确定成交候选人之日起5个工作日内将竞买申请纸质材料提交至我局，由我局对竞买资格进行审查。我局将于202</w:t>
      </w:r>
      <w:r>
        <w:rPr>
          <w:rFonts w:hint="eastAsia" w:ascii="Times New Roman" w:hAnsi="Times New Roman" w:eastAsia="仿宋_GB2312" w:cs="Times New Roman"/>
          <w:sz w:val="32"/>
          <w:szCs w:val="32"/>
          <w:lang w:val="en-US" w:eastAsia="zh-CN"/>
        </w:rPr>
        <w:t>3</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3</w:t>
      </w:r>
      <w:r>
        <w:rPr>
          <w:rFonts w:ascii="Times New Roman" w:hAnsi="Times New Roman" w:eastAsia="仿宋_GB2312" w:cs="Times New Roman"/>
          <w:sz w:val="32"/>
          <w:szCs w:val="32"/>
        </w:rPr>
        <w:t>月</w:t>
      </w:r>
      <w:r>
        <w:rPr>
          <w:rFonts w:ascii="Times New Roman" w:hAnsi="Times New Roman" w:eastAsia="仿宋_GB2312" w:cs="Times New Roman"/>
          <w:sz w:val="32"/>
          <w:szCs w:val="32"/>
          <w:lang w:val="en-US" w:eastAsia="zh-CN"/>
        </w:rPr>
        <w:t>1</w:t>
      </w:r>
      <w:r>
        <w:rPr>
          <w:rFonts w:ascii="Times New Roman" w:hAnsi="Times New Roman" w:eastAsia="仿宋_GB2312" w:cs="Times New Roman"/>
          <w:sz w:val="32"/>
          <w:szCs w:val="32"/>
        </w:rPr>
        <w:t>日前确定符合竞买资格的成交候选人为竞得人。</w:t>
      </w:r>
    </w:p>
    <w:p>
      <w:pPr>
        <w:pStyle w:val="9"/>
        <w:tabs>
          <w:tab w:val="left" w:pos="1283"/>
        </w:tabs>
        <w:spacing w:line="52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成交候选人资格审查须提交下列材料</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均一式两份</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w:t>
      </w:r>
    </w:p>
    <w:p>
      <w:pPr>
        <w:pStyle w:val="9"/>
        <w:tabs>
          <w:tab w:val="left" w:pos="1283"/>
        </w:tabs>
        <w:spacing w:line="520" w:lineRule="exact"/>
        <w:ind w:firstLine="640" w:firstLineChars="200"/>
        <w:jc w:val="both"/>
        <w:rPr>
          <w:rFonts w:ascii="Times New Roman" w:hAnsi="Times New Roman" w:eastAsia="仿宋_GB2312" w:cs="Times New Roman"/>
          <w:sz w:val="32"/>
          <w:szCs w:val="32"/>
        </w:rPr>
      </w:pPr>
      <w:bookmarkStart w:id="10" w:name="bookmark24"/>
      <w:r>
        <w:rPr>
          <w:rFonts w:ascii="Times New Roman" w:hAnsi="Times New Roman" w:eastAsia="仿宋_GB2312" w:cs="Times New Roman"/>
          <w:sz w:val="32"/>
          <w:szCs w:val="32"/>
        </w:rPr>
        <w:t>（</w:t>
      </w:r>
      <w:bookmarkEnd w:id="10"/>
      <w:r>
        <w:rPr>
          <w:rFonts w:ascii="Times New Roman" w:hAnsi="Times New Roman" w:eastAsia="仿宋_GB2312" w:cs="Times New Roman"/>
          <w:sz w:val="32"/>
          <w:szCs w:val="32"/>
        </w:rPr>
        <w:t>一）《竞买申请书》（加盖公章）；</w:t>
      </w:r>
    </w:p>
    <w:p>
      <w:pPr>
        <w:pStyle w:val="9"/>
        <w:tabs>
          <w:tab w:val="left" w:pos="1283"/>
        </w:tabs>
        <w:spacing w:line="520" w:lineRule="exact"/>
        <w:ind w:firstLine="640" w:firstLineChars="200"/>
        <w:jc w:val="both"/>
        <w:rPr>
          <w:rFonts w:ascii="Times New Roman" w:hAnsi="Times New Roman" w:eastAsia="仿宋_GB2312" w:cs="Times New Roman"/>
          <w:sz w:val="32"/>
          <w:szCs w:val="32"/>
        </w:rPr>
      </w:pPr>
      <w:bookmarkStart w:id="11" w:name="bookmark25"/>
      <w:r>
        <w:rPr>
          <w:rFonts w:ascii="Times New Roman" w:hAnsi="Times New Roman" w:eastAsia="仿宋_GB2312" w:cs="Times New Roman"/>
          <w:sz w:val="32"/>
          <w:szCs w:val="32"/>
        </w:rPr>
        <w:t>（</w:t>
      </w:r>
      <w:bookmarkEnd w:id="11"/>
      <w:r>
        <w:rPr>
          <w:rFonts w:ascii="Times New Roman" w:hAnsi="Times New Roman" w:eastAsia="仿宋_GB2312" w:cs="Times New Roman"/>
          <w:sz w:val="32"/>
          <w:szCs w:val="32"/>
        </w:rPr>
        <w:t>二）《竞价结果通知书》（加盖公章）；</w:t>
      </w:r>
    </w:p>
    <w:p>
      <w:pPr>
        <w:pStyle w:val="9"/>
        <w:tabs>
          <w:tab w:val="left" w:pos="1283"/>
        </w:tabs>
        <w:spacing w:line="520" w:lineRule="exact"/>
        <w:ind w:firstLine="640" w:firstLineChars="200"/>
        <w:jc w:val="both"/>
        <w:rPr>
          <w:rFonts w:ascii="Times New Roman" w:hAnsi="Times New Roman" w:eastAsia="仿宋_GB2312" w:cs="Times New Roman"/>
          <w:sz w:val="32"/>
          <w:szCs w:val="32"/>
        </w:rPr>
      </w:pPr>
      <w:bookmarkStart w:id="12" w:name="bookmark26"/>
      <w:r>
        <w:rPr>
          <w:rFonts w:ascii="Times New Roman" w:hAnsi="Times New Roman" w:eastAsia="仿宋_GB2312" w:cs="Times New Roman"/>
          <w:sz w:val="32"/>
          <w:szCs w:val="32"/>
        </w:rPr>
        <w:t>（</w:t>
      </w:r>
      <w:bookmarkEnd w:id="12"/>
      <w:r>
        <w:rPr>
          <w:rFonts w:ascii="Times New Roman" w:hAnsi="Times New Roman" w:eastAsia="仿宋_GB2312" w:cs="Times New Roman"/>
          <w:sz w:val="32"/>
          <w:szCs w:val="32"/>
        </w:rPr>
        <w:t>三）《竞买保证金到账通知书》（加盖公章）；</w:t>
      </w:r>
    </w:p>
    <w:p>
      <w:pPr>
        <w:pStyle w:val="9"/>
        <w:tabs>
          <w:tab w:val="left" w:pos="1283"/>
        </w:tabs>
        <w:spacing w:line="520" w:lineRule="exact"/>
        <w:ind w:firstLine="640" w:firstLineChars="200"/>
        <w:jc w:val="both"/>
        <w:rPr>
          <w:rFonts w:ascii="Times New Roman" w:hAnsi="Times New Roman" w:eastAsia="仿宋_GB2312" w:cs="Times New Roman"/>
          <w:sz w:val="32"/>
          <w:szCs w:val="32"/>
        </w:rPr>
      </w:pPr>
      <w:bookmarkStart w:id="13" w:name="bookmark27"/>
      <w:r>
        <w:rPr>
          <w:rFonts w:ascii="Times New Roman" w:hAnsi="Times New Roman" w:eastAsia="仿宋_GB2312" w:cs="Times New Roman"/>
          <w:sz w:val="32"/>
          <w:szCs w:val="32"/>
        </w:rPr>
        <w:t>（</w:t>
      </w:r>
      <w:bookmarkEnd w:id="13"/>
      <w:r>
        <w:rPr>
          <w:rFonts w:ascii="Times New Roman" w:hAnsi="Times New Roman" w:eastAsia="仿宋_GB2312" w:cs="Times New Roman"/>
          <w:sz w:val="32"/>
          <w:szCs w:val="32"/>
        </w:rPr>
        <w:t>四）竞买保证金转账凭证复印件（加盖公章）；</w:t>
      </w:r>
    </w:p>
    <w:p>
      <w:pPr>
        <w:pStyle w:val="9"/>
        <w:tabs>
          <w:tab w:val="left" w:pos="1283"/>
        </w:tabs>
        <w:spacing w:line="520" w:lineRule="exact"/>
        <w:ind w:firstLine="640" w:firstLineChars="200"/>
        <w:jc w:val="both"/>
        <w:rPr>
          <w:rFonts w:ascii="Times New Roman" w:hAnsi="Times New Roman" w:eastAsia="仿宋_GB2312" w:cs="Times New Roman"/>
          <w:sz w:val="32"/>
          <w:szCs w:val="32"/>
        </w:rPr>
      </w:pPr>
      <w:bookmarkStart w:id="14" w:name="bookmark28"/>
      <w:r>
        <w:rPr>
          <w:rFonts w:ascii="Times New Roman" w:hAnsi="Times New Roman" w:eastAsia="仿宋_GB2312" w:cs="Times New Roman"/>
          <w:sz w:val="32"/>
          <w:szCs w:val="32"/>
        </w:rPr>
        <w:t>（</w:t>
      </w:r>
      <w:bookmarkEnd w:id="14"/>
      <w:r>
        <w:rPr>
          <w:rFonts w:ascii="Times New Roman" w:hAnsi="Times New Roman" w:eastAsia="仿宋_GB2312" w:cs="Times New Roman"/>
          <w:sz w:val="32"/>
          <w:szCs w:val="32"/>
        </w:rPr>
        <w:t>五）申请竞买人有效的《营业执照》复印件（加盖公章）；</w:t>
      </w:r>
    </w:p>
    <w:p>
      <w:pPr>
        <w:pStyle w:val="9"/>
        <w:tabs>
          <w:tab w:val="left" w:pos="1283"/>
        </w:tabs>
        <w:spacing w:line="520" w:lineRule="exact"/>
        <w:ind w:firstLine="640" w:firstLineChars="200"/>
        <w:jc w:val="both"/>
        <w:rPr>
          <w:rFonts w:ascii="Times New Roman" w:hAnsi="Times New Roman" w:eastAsia="仿宋_GB2312" w:cs="Times New Roman"/>
          <w:sz w:val="32"/>
          <w:szCs w:val="32"/>
        </w:rPr>
      </w:pPr>
      <w:bookmarkStart w:id="15" w:name="bookmark29"/>
      <w:r>
        <w:rPr>
          <w:rFonts w:ascii="Times New Roman" w:hAnsi="Times New Roman" w:eastAsia="仿宋_GB2312" w:cs="Times New Roman"/>
          <w:sz w:val="32"/>
          <w:szCs w:val="32"/>
        </w:rPr>
        <w:t>（</w:t>
      </w:r>
      <w:bookmarkEnd w:id="15"/>
      <w:r>
        <w:rPr>
          <w:rFonts w:ascii="Times New Roman" w:hAnsi="Times New Roman" w:eastAsia="仿宋_GB2312" w:cs="Times New Roman"/>
          <w:sz w:val="32"/>
          <w:szCs w:val="32"/>
        </w:rPr>
        <w:t>六）法定代表人身份证复印件（加盖公章）；</w:t>
      </w:r>
    </w:p>
    <w:p>
      <w:pPr>
        <w:pStyle w:val="9"/>
        <w:tabs>
          <w:tab w:val="left" w:pos="1283"/>
        </w:tabs>
        <w:spacing w:line="520" w:lineRule="exact"/>
        <w:ind w:firstLine="640" w:firstLineChars="200"/>
        <w:jc w:val="both"/>
        <w:rPr>
          <w:rFonts w:ascii="Times New Roman" w:hAnsi="Times New Roman" w:eastAsia="仿宋_GB2312" w:cs="Times New Roman"/>
          <w:sz w:val="32"/>
          <w:szCs w:val="32"/>
          <w:lang w:eastAsia="zh-CN"/>
        </w:rPr>
      </w:pPr>
      <w:bookmarkStart w:id="16" w:name="bookmark30"/>
      <w:r>
        <w:rPr>
          <w:rFonts w:ascii="Times New Roman" w:hAnsi="Times New Roman" w:eastAsia="仿宋_GB2312" w:cs="Times New Roman"/>
          <w:sz w:val="32"/>
          <w:szCs w:val="32"/>
        </w:rPr>
        <w:t>（</w:t>
      </w:r>
      <w:bookmarkEnd w:id="16"/>
      <w:r>
        <w:rPr>
          <w:rFonts w:ascii="Times New Roman" w:hAnsi="Times New Roman" w:eastAsia="仿宋_GB2312" w:cs="Times New Roman"/>
          <w:sz w:val="32"/>
          <w:szCs w:val="32"/>
        </w:rPr>
        <w:t>七）授权他人代理的授权委托书及代理人身份证复印件（核对原件）</w:t>
      </w:r>
      <w:r>
        <w:rPr>
          <w:rFonts w:ascii="Times New Roman" w:hAnsi="Times New Roman" w:eastAsia="仿宋_GB2312" w:cs="Times New Roman"/>
          <w:sz w:val="32"/>
          <w:szCs w:val="32"/>
          <w:lang w:eastAsia="zh-CN"/>
        </w:rPr>
        <w:t>；</w:t>
      </w:r>
    </w:p>
    <w:p>
      <w:pPr>
        <w:pStyle w:val="9"/>
        <w:tabs>
          <w:tab w:val="left" w:pos="1283"/>
        </w:tabs>
        <w:spacing w:line="520"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八</w:t>
      </w:r>
      <w:r>
        <w:rPr>
          <w:rFonts w:ascii="Times New Roman" w:hAnsi="Times New Roman" w:eastAsia="仿宋_GB2312" w:cs="Times New Roman"/>
          <w:sz w:val="32"/>
          <w:szCs w:val="32"/>
        </w:rPr>
        <w:t>）惠州仲恺高新技术产业开发区科技创新局出具的与</w:t>
      </w:r>
      <w:r>
        <w:rPr>
          <w:rFonts w:ascii="Times New Roman" w:hAnsi="Times New Roman" w:eastAsia="仿宋_GB2312" w:cs="Times New Roman"/>
          <w:sz w:val="32"/>
          <w:szCs w:val="32"/>
          <w:lang w:val="en-US" w:eastAsia="zh-CN"/>
        </w:rPr>
        <w:t>本公告</w:t>
      </w:r>
      <w:r>
        <w:rPr>
          <w:rFonts w:ascii="Times New Roman" w:hAnsi="Times New Roman" w:eastAsia="仿宋_GB2312" w:cs="Times New Roman"/>
          <w:sz w:val="32"/>
          <w:szCs w:val="32"/>
        </w:rPr>
        <w:t>宗地</w:t>
      </w:r>
      <w:r>
        <w:rPr>
          <w:rFonts w:ascii="Times New Roman" w:hAnsi="Times New Roman" w:eastAsia="仿宋_GB2312" w:cs="Times New Roman"/>
          <w:sz w:val="32"/>
          <w:szCs w:val="32"/>
          <w:lang w:val="en-US" w:eastAsia="zh-CN"/>
        </w:rPr>
        <w:t>要求对应</w:t>
      </w:r>
      <w:r>
        <w:rPr>
          <w:rFonts w:ascii="Times New Roman" w:hAnsi="Times New Roman" w:eastAsia="仿宋_GB2312" w:cs="Times New Roman"/>
          <w:sz w:val="32"/>
          <w:szCs w:val="32"/>
        </w:rPr>
        <w:t>产业类型一致的优先发展产业项目文件复印件（核对原件）</w:t>
      </w:r>
      <w:r>
        <w:rPr>
          <w:rFonts w:hint="eastAsia" w:ascii="Times New Roman" w:hAnsi="Times New Roman" w:eastAsia="仿宋_GB2312" w:cs="Times New Roman"/>
          <w:sz w:val="32"/>
          <w:szCs w:val="32"/>
          <w:lang w:eastAsia="zh-CN"/>
        </w:rPr>
        <w:t>。</w:t>
      </w:r>
    </w:p>
    <w:p>
      <w:pPr>
        <w:pStyle w:val="9"/>
        <w:tabs>
          <w:tab w:val="left" w:pos="1326"/>
        </w:tabs>
        <w:spacing w:line="520" w:lineRule="exact"/>
        <w:ind w:firstLine="660"/>
        <w:jc w:val="both"/>
        <w:rPr>
          <w:rFonts w:ascii="Times New Roman" w:hAnsi="Times New Roman" w:eastAsia="黑体" w:cs="Times New Roman"/>
          <w:sz w:val="32"/>
          <w:szCs w:val="32"/>
        </w:rPr>
      </w:pPr>
      <w:r>
        <w:rPr>
          <w:rFonts w:ascii="Times New Roman" w:hAnsi="Times New Roman" w:eastAsia="黑体" w:cs="Times New Roman"/>
          <w:sz w:val="32"/>
          <w:szCs w:val="32"/>
        </w:rPr>
        <w:t>十、签订成交确认书、出让合同及支付土地出让金</w:t>
      </w:r>
    </w:p>
    <w:p>
      <w:pPr>
        <w:pStyle w:val="9"/>
        <w:tabs>
          <w:tab w:val="left" w:pos="1283"/>
        </w:tabs>
        <w:spacing w:line="52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竞得人应在接到竞得人确定通知之日起2个工作日内与我局、惠州市公共资源交易中心仲恺分中心签订《成交确认书》，签订《成交确认书》之日起5个工作日内，须向我局提交申请受让国有建设用地使用权的有关材料；签订《成交确认书》之日起10个工作日内，须与我局签订《出让合同》。土地出让金于《出让合同》签订之日起30日内一次性付清。竞得人逾期不签订《出让合同》的或已签《出让合同》不缴纳成交价款的，必须收回土地，并按规定处罚。</w:t>
      </w:r>
    </w:p>
    <w:p>
      <w:pPr>
        <w:pStyle w:val="9"/>
        <w:tabs>
          <w:tab w:val="left" w:pos="1283"/>
        </w:tabs>
        <w:spacing w:line="52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付清出让金及有关税费后，竞得人可申请办理建设用地审批及土地登记发证手续。</w:t>
      </w:r>
    </w:p>
    <w:p>
      <w:pPr>
        <w:pStyle w:val="9"/>
        <w:tabs>
          <w:tab w:val="left" w:pos="1326"/>
        </w:tabs>
        <w:spacing w:line="520" w:lineRule="exact"/>
        <w:ind w:firstLine="660"/>
        <w:jc w:val="both"/>
        <w:rPr>
          <w:rFonts w:ascii="Times New Roman" w:hAnsi="Times New Roman" w:eastAsia="黑体" w:cs="Times New Roman"/>
          <w:sz w:val="32"/>
          <w:szCs w:val="32"/>
        </w:rPr>
      </w:pPr>
      <w:r>
        <w:rPr>
          <w:rFonts w:ascii="Times New Roman" w:hAnsi="Times New Roman" w:eastAsia="黑体" w:cs="Times New Roman"/>
          <w:sz w:val="32"/>
          <w:szCs w:val="32"/>
        </w:rPr>
        <w:t>十</w:t>
      </w:r>
      <w:r>
        <w:rPr>
          <w:rFonts w:ascii="Times New Roman" w:hAnsi="Times New Roman" w:eastAsia="黑体" w:cs="Times New Roman"/>
          <w:sz w:val="32"/>
          <w:szCs w:val="32"/>
          <w:lang w:val="en-US" w:eastAsia="zh-CN"/>
        </w:rPr>
        <w:t>一</w:t>
      </w:r>
      <w:r>
        <w:rPr>
          <w:rFonts w:ascii="Times New Roman" w:hAnsi="Times New Roman" w:eastAsia="黑体" w:cs="Times New Roman"/>
          <w:sz w:val="32"/>
          <w:szCs w:val="32"/>
        </w:rPr>
        <w:t>、竞买保证金退还或转付成交价款</w:t>
      </w:r>
    </w:p>
    <w:p>
      <w:pPr>
        <w:pStyle w:val="9"/>
        <w:tabs>
          <w:tab w:val="left" w:pos="1283"/>
        </w:tabs>
        <w:spacing w:line="52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未成功竞得的竞买人所交竞买保证金，在5个工作日内予以退还；若违法违规竞买的，按有关规定处罚后予以退还。</w:t>
      </w:r>
    </w:p>
    <w:p>
      <w:pPr>
        <w:pStyle w:val="9"/>
        <w:tabs>
          <w:tab w:val="left" w:pos="1283"/>
        </w:tabs>
        <w:spacing w:line="52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竞得人签订《成交确认书》后，缴交的保证金中按成交价的20%转作定金</w:t>
      </w:r>
      <w:r>
        <w:rPr>
          <w:rFonts w:ascii="Times New Roman" w:hAnsi="Times New Roman" w:eastAsia="仿宋_GB2312" w:cs="Times New Roman"/>
          <w:sz w:val="32"/>
          <w:szCs w:val="32"/>
          <w:lang w:eastAsia="zh-CN"/>
        </w:rPr>
        <w:t>；</w:t>
      </w:r>
      <w:r>
        <w:rPr>
          <w:rFonts w:ascii="Times New Roman" w:hAnsi="Times New Roman" w:eastAsia="仿宋_GB2312" w:cs="Times New Roman"/>
          <w:sz w:val="32"/>
          <w:szCs w:val="32"/>
        </w:rPr>
        <w:t>竞得人逾期或拒绝签订《出让合同》的，定金不予退还。竞得人签订《出让合同》后，定金转作土地出让价款。</w:t>
      </w:r>
    </w:p>
    <w:p>
      <w:pPr>
        <w:pStyle w:val="9"/>
        <w:tabs>
          <w:tab w:val="left" w:pos="1326"/>
        </w:tabs>
        <w:spacing w:line="520" w:lineRule="exact"/>
        <w:ind w:firstLine="660"/>
        <w:jc w:val="both"/>
        <w:rPr>
          <w:rFonts w:ascii="Times New Roman" w:hAnsi="Times New Roman" w:eastAsia="黑体" w:cs="Times New Roman"/>
          <w:sz w:val="32"/>
          <w:szCs w:val="32"/>
        </w:rPr>
      </w:pPr>
      <w:r>
        <w:rPr>
          <w:rFonts w:ascii="Times New Roman" w:hAnsi="Times New Roman" w:eastAsia="黑体" w:cs="Times New Roman"/>
          <w:sz w:val="32"/>
          <w:szCs w:val="32"/>
        </w:rPr>
        <w:t>十</w:t>
      </w:r>
      <w:r>
        <w:rPr>
          <w:rFonts w:ascii="Times New Roman" w:hAnsi="Times New Roman" w:eastAsia="黑体" w:cs="Times New Roman"/>
          <w:sz w:val="32"/>
          <w:szCs w:val="32"/>
          <w:lang w:val="en-US" w:eastAsia="zh-CN"/>
        </w:rPr>
        <w:t>二</w:t>
      </w:r>
      <w:r>
        <w:rPr>
          <w:rFonts w:ascii="Times New Roman" w:hAnsi="Times New Roman" w:eastAsia="黑体" w:cs="Times New Roman"/>
          <w:sz w:val="32"/>
          <w:szCs w:val="32"/>
        </w:rPr>
        <w:t>、违规责任</w:t>
      </w:r>
    </w:p>
    <w:p>
      <w:pPr>
        <w:pStyle w:val="9"/>
        <w:tabs>
          <w:tab w:val="left" w:pos="1283"/>
        </w:tabs>
        <w:spacing w:line="52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成交候选人（或竞得人）有下列行为之一的，取消候选人资格（或竞得资格），竞价结果无效，竞买保证金不予退还，造成损失的，成交候选人（或竞得人）还应依法承担赔偿责任：</w:t>
      </w:r>
    </w:p>
    <w:p>
      <w:pPr>
        <w:pStyle w:val="9"/>
        <w:tabs>
          <w:tab w:val="left" w:pos="1283"/>
        </w:tabs>
        <w:spacing w:line="520" w:lineRule="exact"/>
        <w:ind w:firstLine="640" w:firstLineChars="200"/>
        <w:jc w:val="both"/>
        <w:rPr>
          <w:rFonts w:ascii="Times New Roman" w:hAnsi="Times New Roman" w:eastAsia="仿宋_GB2312" w:cs="Times New Roman"/>
          <w:sz w:val="32"/>
          <w:szCs w:val="32"/>
        </w:rPr>
      </w:pPr>
      <w:bookmarkStart w:id="17" w:name="bookmark31"/>
      <w:r>
        <w:rPr>
          <w:rFonts w:ascii="Times New Roman" w:hAnsi="Times New Roman" w:eastAsia="仿宋_GB2312" w:cs="Times New Roman"/>
          <w:sz w:val="32"/>
          <w:szCs w:val="32"/>
        </w:rPr>
        <w:t>（</w:t>
      </w:r>
      <w:bookmarkEnd w:id="17"/>
      <w:r>
        <w:rPr>
          <w:rFonts w:ascii="Times New Roman" w:hAnsi="Times New Roman" w:eastAsia="仿宋_GB2312" w:cs="Times New Roman"/>
          <w:sz w:val="32"/>
          <w:szCs w:val="32"/>
        </w:rPr>
        <w:t>一）不符合竞买资格条件的；</w:t>
      </w:r>
    </w:p>
    <w:p>
      <w:pPr>
        <w:pStyle w:val="9"/>
        <w:tabs>
          <w:tab w:val="left" w:pos="1283"/>
        </w:tabs>
        <w:spacing w:line="520" w:lineRule="exact"/>
        <w:ind w:firstLine="640" w:firstLineChars="200"/>
        <w:jc w:val="both"/>
        <w:rPr>
          <w:rFonts w:ascii="Times New Roman" w:hAnsi="Times New Roman" w:eastAsia="仿宋_GB2312" w:cs="Times New Roman"/>
          <w:sz w:val="32"/>
          <w:szCs w:val="32"/>
        </w:rPr>
      </w:pPr>
      <w:bookmarkStart w:id="18" w:name="bookmark32"/>
      <w:r>
        <w:rPr>
          <w:rFonts w:ascii="Times New Roman" w:hAnsi="Times New Roman" w:eastAsia="仿宋_GB2312" w:cs="Times New Roman"/>
          <w:sz w:val="32"/>
          <w:szCs w:val="32"/>
        </w:rPr>
        <w:t>（</w:t>
      </w:r>
      <w:bookmarkEnd w:id="18"/>
      <w:r>
        <w:rPr>
          <w:rFonts w:ascii="Times New Roman" w:hAnsi="Times New Roman" w:eastAsia="仿宋_GB2312" w:cs="Times New Roman"/>
          <w:sz w:val="32"/>
          <w:szCs w:val="32"/>
        </w:rPr>
        <w:t>二）提供虚假文件材料，隐瞒重要事实的；</w:t>
      </w:r>
    </w:p>
    <w:p>
      <w:pPr>
        <w:pStyle w:val="9"/>
        <w:tabs>
          <w:tab w:val="left" w:pos="1283"/>
        </w:tabs>
        <w:spacing w:line="520" w:lineRule="exact"/>
        <w:ind w:firstLine="640" w:firstLineChars="200"/>
        <w:jc w:val="both"/>
        <w:rPr>
          <w:rFonts w:ascii="Times New Roman" w:hAnsi="Times New Roman" w:eastAsia="仿宋_GB2312" w:cs="Times New Roman"/>
          <w:sz w:val="32"/>
          <w:szCs w:val="32"/>
        </w:rPr>
      </w:pPr>
      <w:bookmarkStart w:id="19" w:name="bookmark33"/>
      <w:r>
        <w:rPr>
          <w:rFonts w:ascii="Times New Roman" w:hAnsi="Times New Roman" w:eastAsia="仿宋_GB2312" w:cs="Times New Roman"/>
          <w:sz w:val="32"/>
          <w:szCs w:val="32"/>
        </w:rPr>
        <w:t>（</w:t>
      </w:r>
      <w:bookmarkEnd w:id="19"/>
      <w:r>
        <w:rPr>
          <w:rFonts w:ascii="Times New Roman" w:hAnsi="Times New Roman" w:eastAsia="仿宋_GB2312" w:cs="Times New Roman"/>
          <w:sz w:val="32"/>
          <w:szCs w:val="32"/>
        </w:rPr>
        <w:t>三）采取行贿、恶意串通等非法手段竞得的；</w:t>
      </w:r>
    </w:p>
    <w:p>
      <w:pPr>
        <w:pStyle w:val="9"/>
        <w:tabs>
          <w:tab w:val="left" w:pos="1283"/>
        </w:tabs>
        <w:spacing w:line="520" w:lineRule="exact"/>
        <w:ind w:firstLine="640" w:firstLineChars="200"/>
        <w:jc w:val="both"/>
        <w:rPr>
          <w:rFonts w:ascii="Times New Roman" w:hAnsi="Times New Roman" w:eastAsia="仿宋_GB2312" w:cs="Times New Roman"/>
          <w:sz w:val="32"/>
          <w:szCs w:val="32"/>
          <w:lang w:eastAsia="zh-CN"/>
        </w:rPr>
      </w:pPr>
      <w:bookmarkStart w:id="20" w:name="bookmark34"/>
      <w:r>
        <w:rPr>
          <w:rFonts w:ascii="Times New Roman" w:hAnsi="Times New Roman" w:eastAsia="仿宋_GB2312" w:cs="Times New Roman"/>
          <w:sz w:val="32"/>
          <w:szCs w:val="32"/>
        </w:rPr>
        <w:t>（</w:t>
      </w:r>
      <w:bookmarkEnd w:id="20"/>
      <w:r>
        <w:rPr>
          <w:rFonts w:ascii="Times New Roman" w:hAnsi="Times New Roman" w:eastAsia="仿宋_GB2312" w:cs="Times New Roman"/>
          <w:sz w:val="32"/>
          <w:szCs w:val="32"/>
        </w:rPr>
        <w:t>四）无正当理由逾期或拒绝签订成交确认书的</w:t>
      </w:r>
      <w:r>
        <w:rPr>
          <w:rFonts w:ascii="Times New Roman" w:hAnsi="Times New Roman" w:eastAsia="仿宋_GB2312" w:cs="Times New Roman"/>
          <w:sz w:val="32"/>
          <w:szCs w:val="32"/>
          <w:lang w:eastAsia="zh-CN"/>
        </w:rPr>
        <w:t>。</w:t>
      </w:r>
    </w:p>
    <w:p>
      <w:pPr>
        <w:pStyle w:val="9"/>
        <w:tabs>
          <w:tab w:val="left" w:pos="1326"/>
        </w:tabs>
        <w:spacing w:line="520" w:lineRule="exact"/>
        <w:ind w:firstLine="660"/>
        <w:jc w:val="both"/>
        <w:rPr>
          <w:rFonts w:ascii="Times New Roman" w:hAnsi="Times New Roman" w:eastAsia="黑体" w:cs="Times New Roman"/>
          <w:sz w:val="32"/>
          <w:szCs w:val="32"/>
        </w:rPr>
      </w:pPr>
      <w:r>
        <w:rPr>
          <w:rFonts w:ascii="Times New Roman" w:hAnsi="Times New Roman" w:eastAsia="黑体" w:cs="Times New Roman"/>
          <w:sz w:val="32"/>
          <w:szCs w:val="32"/>
        </w:rPr>
        <w:t>十</w:t>
      </w:r>
      <w:r>
        <w:rPr>
          <w:rFonts w:ascii="Times New Roman" w:hAnsi="Times New Roman" w:eastAsia="黑体" w:cs="Times New Roman"/>
          <w:sz w:val="32"/>
          <w:szCs w:val="32"/>
          <w:lang w:val="en-US" w:eastAsia="zh-CN"/>
        </w:rPr>
        <w:t>三</w:t>
      </w:r>
      <w:r>
        <w:rPr>
          <w:rFonts w:ascii="Times New Roman" w:hAnsi="Times New Roman" w:eastAsia="黑体" w:cs="Times New Roman"/>
          <w:sz w:val="32"/>
          <w:szCs w:val="32"/>
        </w:rPr>
        <w:t>、其他需要公告的事项</w:t>
      </w:r>
    </w:p>
    <w:p>
      <w:pPr>
        <w:pStyle w:val="9"/>
        <w:tabs>
          <w:tab w:val="left" w:pos="1283"/>
        </w:tabs>
        <w:spacing w:line="520" w:lineRule="exact"/>
        <w:ind w:firstLine="640" w:firstLineChars="200"/>
        <w:jc w:val="both"/>
        <w:rPr>
          <w:rFonts w:ascii="Times New Roman" w:hAnsi="Times New Roman" w:eastAsia="仿宋_GB2312" w:cs="Times New Roman"/>
          <w:sz w:val="32"/>
          <w:szCs w:val="32"/>
          <w:lang w:eastAsia="zh-CN"/>
        </w:rPr>
      </w:pPr>
      <w:bookmarkStart w:id="21" w:name="bookmark35"/>
      <w:r>
        <w:rPr>
          <w:rFonts w:ascii="Times New Roman" w:hAnsi="Times New Roman" w:eastAsia="仿宋_GB2312" w:cs="Times New Roman"/>
          <w:sz w:val="32"/>
          <w:szCs w:val="32"/>
        </w:rPr>
        <w:t>（</w:t>
      </w:r>
      <w:bookmarkEnd w:id="21"/>
      <w:r>
        <w:rPr>
          <w:rFonts w:ascii="Times New Roman" w:hAnsi="Times New Roman" w:eastAsia="仿宋_GB2312" w:cs="Times New Roman"/>
          <w:sz w:val="32"/>
          <w:szCs w:val="32"/>
        </w:rPr>
        <w:t>一）本</w:t>
      </w:r>
      <w:r>
        <w:rPr>
          <w:rFonts w:ascii="Times New Roman" w:hAnsi="Times New Roman" w:eastAsia="仿宋_GB2312" w:cs="Times New Roman"/>
          <w:sz w:val="32"/>
          <w:szCs w:val="32"/>
          <w:lang w:val="en-US" w:eastAsia="zh-CN"/>
        </w:rPr>
        <w:t>公告</w:t>
      </w:r>
      <w:r>
        <w:rPr>
          <w:rFonts w:hint="eastAsia" w:ascii="Times New Roman" w:hAnsi="Times New Roman" w:eastAsia="仿宋_GB2312" w:cs="Times New Roman"/>
          <w:sz w:val="32"/>
          <w:szCs w:val="32"/>
          <w:lang w:val="en-US" w:eastAsia="zh-CN"/>
        </w:rPr>
        <w:t>4宗</w:t>
      </w:r>
      <w:r>
        <w:rPr>
          <w:rFonts w:ascii="Times New Roman" w:hAnsi="Times New Roman" w:eastAsia="仿宋_GB2312" w:cs="Times New Roman"/>
          <w:sz w:val="32"/>
          <w:szCs w:val="32"/>
        </w:rPr>
        <w:t>地网上挂牌出让的详细资料和具体要求，见网上挂牌交易系统。申请人可在网上挂牌交易系统下载挂牌出让公告、须知及相关交易文件</w:t>
      </w:r>
      <w:r>
        <w:rPr>
          <w:rFonts w:ascii="Times New Roman" w:hAnsi="Times New Roman" w:eastAsia="仿宋_GB2312" w:cs="Times New Roman"/>
          <w:sz w:val="32"/>
          <w:szCs w:val="32"/>
          <w:lang w:eastAsia="zh-CN"/>
        </w:rPr>
        <w:t>；</w:t>
      </w:r>
    </w:p>
    <w:p>
      <w:pPr>
        <w:pStyle w:val="9"/>
        <w:tabs>
          <w:tab w:val="left" w:pos="1283"/>
        </w:tabs>
        <w:spacing w:line="520" w:lineRule="exact"/>
        <w:ind w:firstLine="640" w:firstLineChars="200"/>
        <w:jc w:val="both"/>
        <w:rPr>
          <w:rFonts w:ascii="Times New Roman" w:hAnsi="Times New Roman" w:eastAsia="仿宋_GB2312" w:cs="Times New Roman"/>
          <w:sz w:val="32"/>
          <w:szCs w:val="32"/>
          <w:lang w:eastAsia="zh-CN"/>
        </w:rPr>
      </w:pPr>
      <w:bookmarkStart w:id="22" w:name="bookmark36"/>
      <w:r>
        <w:rPr>
          <w:rFonts w:ascii="Times New Roman" w:hAnsi="Times New Roman" w:eastAsia="仿宋_GB2312" w:cs="Times New Roman"/>
          <w:sz w:val="32"/>
          <w:szCs w:val="32"/>
          <w:lang w:val="zh-CN" w:eastAsia="zh-CN"/>
        </w:rPr>
        <w:t>（</w:t>
      </w:r>
      <w:bookmarkEnd w:id="22"/>
      <w:r>
        <w:rPr>
          <w:rFonts w:ascii="Times New Roman" w:hAnsi="Times New Roman" w:eastAsia="仿宋_GB2312" w:cs="Times New Roman"/>
          <w:sz w:val="32"/>
          <w:szCs w:val="32"/>
        </w:rPr>
        <w:t>二）有意竞买者可以自行到地块现场踏勘（可在网上挂牌交易系统查阅用地红线图）</w:t>
      </w:r>
      <w:r>
        <w:rPr>
          <w:rFonts w:ascii="Times New Roman" w:hAnsi="Times New Roman" w:eastAsia="仿宋_GB2312" w:cs="Times New Roman"/>
          <w:sz w:val="32"/>
          <w:szCs w:val="32"/>
          <w:lang w:eastAsia="zh-CN"/>
        </w:rPr>
        <w:t>；</w:t>
      </w:r>
    </w:p>
    <w:p>
      <w:pPr>
        <w:pStyle w:val="9"/>
        <w:tabs>
          <w:tab w:val="left" w:pos="1283"/>
        </w:tabs>
        <w:spacing w:line="520" w:lineRule="exact"/>
        <w:ind w:firstLine="640" w:firstLineChars="200"/>
        <w:jc w:val="both"/>
        <w:rPr>
          <w:rFonts w:hint="eastAsia" w:ascii="Times New Roman" w:hAnsi="Times New Roman" w:eastAsia="仿宋_GB2312" w:cs="Times New Roman"/>
          <w:kern w:val="2"/>
          <w:sz w:val="32"/>
          <w:szCs w:val="32"/>
          <w:lang w:val="en-US" w:eastAsia="zh-CN" w:bidi="ar-SA"/>
        </w:rPr>
      </w:pPr>
      <w:r>
        <w:rPr>
          <w:rFonts w:ascii="Times New Roman" w:hAnsi="Times New Roman" w:eastAsia="仿宋_GB2312" w:cs="Times New Roman"/>
          <w:kern w:val="2"/>
          <w:sz w:val="32"/>
          <w:szCs w:val="32"/>
          <w:lang w:val="en-US" w:eastAsia="zh-CN" w:bidi="ar-SA"/>
        </w:rPr>
        <w:t>（</w:t>
      </w:r>
      <w:r>
        <w:rPr>
          <w:rFonts w:hint="eastAsia" w:ascii="Times New Roman" w:hAnsi="Times New Roman" w:eastAsia="仿宋_GB2312" w:cs="Times New Roman"/>
          <w:kern w:val="2"/>
          <w:sz w:val="32"/>
          <w:szCs w:val="32"/>
          <w:lang w:val="en-US" w:eastAsia="zh-CN" w:bidi="ar-SA"/>
        </w:rPr>
        <w:t>三</w:t>
      </w:r>
      <w:r>
        <w:rPr>
          <w:rFonts w:ascii="Times New Roman" w:hAnsi="Times New Roman" w:eastAsia="仿宋_GB2312" w:cs="Times New Roman"/>
          <w:kern w:val="2"/>
          <w:sz w:val="32"/>
          <w:szCs w:val="32"/>
          <w:lang w:val="en-US" w:eastAsia="zh-CN" w:bidi="ar-SA"/>
        </w:rPr>
        <w:t>）</w:t>
      </w:r>
      <w:r>
        <w:rPr>
          <w:rFonts w:hint="eastAsia" w:ascii="Times New Roman" w:hAnsi="Times New Roman" w:eastAsia="仿宋_GB2312" w:cs="Times New Roman"/>
          <w:kern w:val="2"/>
          <w:sz w:val="32"/>
          <w:szCs w:val="32"/>
          <w:lang w:val="en-US" w:eastAsia="zh-CN" w:bidi="ar-SA"/>
        </w:rPr>
        <w:t>挂牌编号为惠仲土（用地）挂[2023]009号的地块</w:t>
      </w:r>
      <w:r>
        <w:rPr>
          <w:rFonts w:hint="default" w:ascii="Times New Roman" w:hAnsi="Times New Roman" w:eastAsia="仿宋_GB2312" w:cs="Times New Roman"/>
          <w:sz w:val="32"/>
          <w:szCs w:val="32"/>
        </w:rPr>
        <w:t>在</w:t>
      </w:r>
      <w:r>
        <w:rPr>
          <w:rFonts w:hint="default" w:ascii="Times New Roman" w:hAnsi="Times New Roman" w:eastAsia="仿宋_GB2312" w:cs="Times New Roman"/>
          <w:sz w:val="32"/>
          <w:szCs w:val="32"/>
          <w:lang w:val="en-US" w:eastAsia="zh-CN"/>
        </w:rPr>
        <w:t>宗地</w:t>
      </w:r>
      <w:r>
        <w:rPr>
          <w:rFonts w:hint="default" w:ascii="Times New Roman" w:hAnsi="Times New Roman" w:eastAsia="仿宋_GB2312" w:cs="Times New Roman"/>
          <w:sz w:val="32"/>
          <w:szCs w:val="32"/>
        </w:rPr>
        <w:t>西北侧约1.8千米处，规划了一处垃圾焚烧厂</w:t>
      </w:r>
      <w:r>
        <w:rPr>
          <w:rFonts w:hint="eastAsia" w:ascii="Times New Roman" w:hAnsi="Times New Roman" w:eastAsia="仿宋_GB2312" w:cs="Times New Roman"/>
          <w:sz w:val="32"/>
          <w:szCs w:val="32"/>
          <w:lang w:eastAsia="zh-CN"/>
        </w:rPr>
        <w:t>；</w:t>
      </w:r>
    </w:p>
    <w:p>
      <w:pPr>
        <w:pStyle w:val="9"/>
        <w:tabs>
          <w:tab w:val="left" w:pos="1283"/>
        </w:tabs>
        <w:spacing w:line="520"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四</w:t>
      </w:r>
      <w:r>
        <w:rPr>
          <w:rFonts w:ascii="Times New Roman" w:hAnsi="Times New Roman" w:eastAsia="仿宋_GB2312" w:cs="Times New Roman"/>
          <w:sz w:val="32"/>
          <w:szCs w:val="32"/>
        </w:rPr>
        <w:t>）</w:t>
      </w:r>
      <w:r>
        <w:rPr>
          <w:rFonts w:ascii="Times New Roman" w:hAnsi="Times New Roman" w:eastAsia="仿宋_GB2312" w:cs="Times New Roman"/>
          <w:kern w:val="2"/>
          <w:sz w:val="32"/>
          <w:szCs w:val="32"/>
          <w:lang w:val="en-US" w:eastAsia="zh-CN" w:bidi="ar-SA"/>
        </w:rPr>
        <w:t>地块周边基础设施已基本配套，具备动工建设所必需的条件；</w:t>
      </w:r>
    </w:p>
    <w:p>
      <w:pPr>
        <w:pStyle w:val="9"/>
        <w:tabs>
          <w:tab w:val="left" w:pos="1283"/>
        </w:tabs>
        <w:spacing w:line="520" w:lineRule="exact"/>
        <w:ind w:firstLine="640" w:firstLineChars="200"/>
        <w:jc w:val="both"/>
        <w:rPr>
          <w:rFonts w:ascii="Times New Roman" w:hAnsi="Times New Roman" w:eastAsia="仿宋_GB2312" w:cs="Times New Roman"/>
          <w:sz w:val="32"/>
          <w:szCs w:val="32"/>
          <w:lang w:eastAsia="zh-CN"/>
        </w:rPr>
      </w:pPr>
      <w:bookmarkStart w:id="23" w:name="bookmark37"/>
      <w:r>
        <w:rPr>
          <w:rFonts w:ascii="Times New Roman" w:hAnsi="Times New Roman" w:eastAsia="仿宋_GB2312" w:cs="Times New Roman"/>
          <w:sz w:val="32"/>
          <w:szCs w:val="32"/>
        </w:rPr>
        <w:t>（</w:t>
      </w:r>
      <w:bookmarkEnd w:id="23"/>
      <w:r>
        <w:rPr>
          <w:rFonts w:hint="eastAsia" w:ascii="Times New Roman" w:hAnsi="Times New Roman" w:eastAsia="仿宋_GB2312" w:cs="Times New Roman"/>
          <w:sz w:val="32"/>
          <w:szCs w:val="32"/>
          <w:lang w:val="en-US" w:eastAsia="zh-CN"/>
        </w:rPr>
        <w:t>五</w:t>
      </w:r>
      <w:r>
        <w:rPr>
          <w:rFonts w:ascii="Times New Roman" w:hAnsi="Times New Roman" w:eastAsia="仿宋_GB2312" w:cs="Times New Roman"/>
          <w:sz w:val="32"/>
          <w:szCs w:val="32"/>
        </w:rPr>
        <w:t>）竞买申请一经受理确认后，即视为竞买人对网上挂牌出让公告、须知、相关交易文件及地块现状无异议并全部接受，并对有关承诺承担法律责任</w:t>
      </w:r>
      <w:r>
        <w:rPr>
          <w:rFonts w:ascii="Times New Roman" w:hAnsi="Times New Roman" w:eastAsia="仿宋_GB2312" w:cs="Times New Roman"/>
          <w:sz w:val="32"/>
          <w:szCs w:val="32"/>
          <w:lang w:eastAsia="zh-CN"/>
        </w:rPr>
        <w:t>；</w:t>
      </w:r>
    </w:p>
    <w:p>
      <w:pPr>
        <w:pStyle w:val="9"/>
        <w:tabs>
          <w:tab w:val="left" w:pos="1283"/>
        </w:tabs>
        <w:spacing w:line="520" w:lineRule="exact"/>
        <w:ind w:firstLine="640" w:firstLineChars="200"/>
        <w:jc w:val="both"/>
        <w:rPr>
          <w:rFonts w:ascii="Times New Roman" w:hAnsi="Times New Roman" w:eastAsia="仿宋_GB2312" w:cs="Times New Roman"/>
          <w:sz w:val="32"/>
          <w:szCs w:val="32"/>
        </w:rPr>
      </w:pPr>
      <w:bookmarkStart w:id="24" w:name="bookmark14"/>
      <w:bookmarkStart w:id="25" w:name="bookmark38"/>
      <w:r>
        <w:rPr>
          <w:rFonts w:ascii="Times New Roman" w:hAnsi="Times New Roman" w:eastAsia="仿宋_GB2312" w:cs="Times New Roman"/>
          <w:sz w:val="32"/>
          <w:szCs w:val="32"/>
        </w:rPr>
        <w:t>（</w:t>
      </w:r>
      <w:bookmarkEnd w:id="24"/>
      <w:r>
        <w:rPr>
          <w:rFonts w:hint="eastAsia" w:ascii="Times New Roman" w:hAnsi="Times New Roman" w:eastAsia="仿宋_GB2312" w:cs="Times New Roman"/>
          <w:sz w:val="32"/>
          <w:szCs w:val="32"/>
          <w:lang w:val="en-US" w:eastAsia="zh-CN"/>
        </w:rPr>
        <w:t>六</w:t>
      </w:r>
      <w:r>
        <w:rPr>
          <w:rFonts w:ascii="Times New Roman" w:hAnsi="Times New Roman" w:eastAsia="仿宋_GB2312" w:cs="Times New Roman"/>
          <w:sz w:val="32"/>
          <w:szCs w:val="32"/>
        </w:rPr>
        <w:t>）非仲恺高新区注册登记的企业竞得土地使用权的，必须在竞得土地后2个月内在仲恺高新区市场监督管理部门注册成立项目开发公司，并以该公司名义办理土地出让与登记发证手续；</w:t>
      </w:r>
      <w:bookmarkEnd w:id="25"/>
      <w:bookmarkStart w:id="26" w:name="bookmark13"/>
    </w:p>
    <w:p>
      <w:pPr>
        <w:pStyle w:val="9"/>
        <w:tabs>
          <w:tab w:val="left" w:pos="1283"/>
        </w:tabs>
        <w:spacing w:line="52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w:t>
      </w:r>
      <w:bookmarkEnd w:id="26"/>
      <w:r>
        <w:rPr>
          <w:rFonts w:hint="eastAsia" w:ascii="Times New Roman" w:hAnsi="Times New Roman" w:eastAsia="仿宋_GB2312" w:cs="Times New Roman"/>
          <w:sz w:val="32"/>
          <w:szCs w:val="32"/>
          <w:lang w:val="en-US" w:eastAsia="zh-CN"/>
        </w:rPr>
        <w:t>七</w:t>
      </w:r>
      <w:r>
        <w:rPr>
          <w:rFonts w:ascii="Times New Roman" w:hAnsi="Times New Roman" w:eastAsia="仿宋_GB2312" w:cs="Times New Roman"/>
          <w:sz w:val="32"/>
          <w:szCs w:val="32"/>
        </w:rPr>
        <w:t>）竞得人除缴交成交地价款外，还需按规定缴交契税等有关税费；</w:t>
      </w:r>
    </w:p>
    <w:p>
      <w:pPr>
        <w:pStyle w:val="9"/>
        <w:tabs>
          <w:tab w:val="left" w:pos="1283"/>
        </w:tabs>
        <w:spacing w:line="520" w:lineRule="exact"/>
        <w:ind w:firstLine="640" w:firstLineChars="200"/>
        <w:jc w:val="both"/>
        <w:rPr>
          <w:rFonts w:ascii="Times New Roman" w:hAnsi="Times New Roman" w:eastAsia="仿宋_GB2312" w:cs="Times New Roman"/>
          <w:sz w:val="32"/>
          <w:szCs w:val="32"/>
          <w:highlight w:val="yellow"/>
          <w:lang w:val="en-US" w:eastAsia="zh-CN"/>
        </w:rPr>
      </w:pPr>
      <w:bookmarkStart w:id="27" w:name="bookmark15"/>
      <w:r>
        <w:rPr>
          <w:rFonts w:ascii="Times New Roman" w:hAnsi="Times New Roman" w:eastAsia="仿宋_GB2312" w:cs="Times New Roman"/>
          <w:sz w:val="32"/>
          <w:szCs w:val="32"/>
        </w:rPr>
        <w:t>（</w:t>
      </w:r>
      <w:bookmarkEnd w:id="27"/>
      <w:r>
        <w:rPr>
          <w:rFonts w:hint="eastAsia" w:ascii="Times New Roman" w:hAnsi="Times New Roman" w:eastAsia="仿宋_GB2312" w:cs="Times New Roman"/>
          <w:sz w:val="32"/>
          <w:szCs w:val="32"/>
          <w:lang w:val="en-US" w:eastAsia="zh-CN"/>
        </w:rPr>
        <w:t>八</w:t>
      </w:r>
      <w:r>
        <w:rPr>
          <w:rFonts w:ascii="Times New Roman" w:hAnsi="Times New Roman" w:eastAsia="仿宋_GB2312" w:cs="Times New Roman"/>
          <w:sz w:val="32"/>
          <w:szCs w:val="32"/>
        </w:rPr>
        <w:t>）竞得人须在签订《国有建设用地使用权出让合同》（以下简称</w:t>
      </w:r>
      <w:r>
        <w:rPr>
          <w:rFonts w:hint="eastAsia" w:ascii="Times New Roman" w:hAnsi="Times New Roman" w:eastAsia="仿宋_GB2312" w:cs="Times New Roman"/>
          <w:sz w:val="32"/>
          <w:szCs w:val="32"/>
          <w:lang w:val="zh-CN" w:eastAsia="zh-CN"/>
        </w:rPr>
        <w:t>“《出让合同》”</w:t>
      </w:r>
      <w:r>
        <w:rPr>
          <w:rFonts w:ascii="Times New Roman" w:hAnsi="Times New Roman" w:eastAsia="仿宋_GB2312" w:cs="Times New Roman"/>
          <w:sz w:val="32"/>
          <w:szCs w:val="32"/>
        </w:rPr>
        <w:t>）时，提交惠州仲恺高新技术产业开发区科技创新局出具的与</w:t>
      </w:r>
      <w:r>
        <w:rPr>
          <w:rFonts w:ascii="Times New Roman" w:hAnsi="Times New Roman" w:eastAsia="仿宋_GB2312" w:cs="Times New Roman"/>
          <w:sz w:val="32"/>
          <w:szCs w:val="32"/>
          <w:lang w:val="en-US" w:eastAsia="zh-CN"/>
        </w:rPr>
        <w:t>本公告</w:t>
      </w:r>
      <w:r>
        <w:rPr>
          <w:rFonts w:ascii="Times New Roman" w:hAnsi="Times New Roman" w:eastAsia="仿宋_GB2312" w:cs="Times New Roman"/>
          <w:sz w:val="32"/>
          <w:szCs w:val="32"/>
        </w:rPr>
        <w:t>宗地产业类型一致的优先发展产业项目文件，并同步</w:t>
      </w:r>
      <w:r>
        <w:rPr>
          <w:rFonts w:ascii="Times New Roman" w:hAnsi="Times New Roman" w:eastAsia="仿宋_GB2312" w:cs="Times New Roman"/>
          <w:sz w:val="32"/>
          <w:szCs w:val="32"/>
          <w:lang w:val="en-US" w:eastAsia="zh-CN"/>
        </w:rPr>
        <w:t>提交与相关部门</w:t>
      </w:r>
      <w:r>
        <w:rPr>
          <w:rFonts w:ascii="Times New Roman" w:hAnsi="Times New Roman" w:eastAsia="仿宋_GB2312" w:cs="Times New Roman"/>
          <w:sz w:val="32"/>
          <w:szCs w:val="32"/>
        </w:rPr>
        <w:t>签订</w:t>
      </w:r>
      <w:r>
        <w:rPr>
          <w:rFonts w:ascii="Times New Roman" w:hAnsi="Times New Roman" w:eastAsia="仿宋_GB2312" w:cs="Times New Roman"/>
          <w:sz w:val="32"/>
          <w:szCs w:val="32"/>
          <w:lang w:val="en-US" w:eastAsia="zh-CN"/>
        </w:rPr>
        <w:t>的</w:t>
      </w:r>
      <w:r>
        <w:rPr>
          <w:rFonts w:ascii="Times New Roman" w:hAnsi="Times New Roman" w:eastAsia="仿宋_GB2312" w:cs="Times New Roman"/>
          <w:sz w:val="32"/>
          <w:szCs w:val="32"/>
        </w:rPr>
        <w:t>《仲恺高新区产业项目投资建设协议书》</w:t>
      </w:r>
      <w:r>
        <w:rPr>
          <w:rFonts w:ascii="Times New Roman" w:hAnsi="Times New Roman" w:eastAsia="仿宋_GB2312" w:cs="Times New Roman"/>
          <w:sz w:val="32"/>
          <w:szCs w:val="32"/>
          <w:lang w:eastAsia="zh-CN"/>
        </w:rPr>
        <w:t>，</w:t>
      </w:r>
      <w:r>
        <w:rPr>
          <w:rFonts w:ascii="Times New Roman" w:hAnsi="Times New Roman" w:eastAsia="仿宋_GB2312" w:cs="Times New Roman"/>
          <w:sz w:val="32"/>
          <w:szCs w:val="32"/>
          <w:lang w:val="en-US" w:eastAsia="zh-CN"/>
        </w:rPr>
        <w:t>各宗地开发及使用规定</w:t>
      </w:r>
      <w:r>
        <w:rPr>
          <w:rFonts w:hint="eastAsia" w:ascii="Times New Roman" w:hAnsi="Times New Roman" w:eastAsia="仿宋_GB2312" w:cs="Times New Roman"/>
          <w:sz w:val="32"/>
          <w:szCs w:val="32"/>
          <w:lang w:val="en-US" w:eastAsia="zh-CN"/>
        </w:rPr>
        <w:t>详见附表（挂牌起始价及地块规划建设要求等主要指标附表）</w:t>
      </w:r>
      <w:bookmarkStart w:id="28" w:name="bookmark16"/>
      <w:r>
        <w:rPr>
          <w:rFonts w:hint="eastAsia" w:ascii="Times New Roman" w:hAnsi="Times New Roman" w:eastAsia="仿宋_GB2312" w:cs="Times New Roman"/>
          <w:sz w:val="32"/>
          <w:szCs w:val="32"/>
          <w:lang w:val="en-US" w:eastAsia="zh-CN"/>
        </w:rPr>
        <w:t>；</w:t>
      </w:r>
    </w:p>
    <w:p>
      <w:pPr>
        <w:pStyle w:val="9"/>
        <w:tabs>
          <w:tab w:val="left" w:pos="1283"/>
        </w:tabs>
        <w:spacing w:line="52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九</w:t>
      </w:r>
      <w:r>
        <w:rPr>
          <w:rFonts w:ascii="Times New Roman" w:hAnsi="Times New Roman" w:eastAsia="仿宋_GB2312" w:cs="Times New Roman"/>
          <w:sz w:val="32"/>
          <w:szCs w:val="32"/>
        </w:rPr>
        <w:t>）地块动工竣工时间及地块交付时间</w:t>
      </w:r>
    </w:p>
    <w:p>
      <w:pPr>
        <w:pStyle w:val="9"/>
        <w:tabs>
          <w:tab w:val="left" w:pos="1283"/>
        </w:tabs>
        <w:spacing w:line="520"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rPr>
        <w:t>《出让合同》签订之日交付土地；动、竣工时间按《仲恺高新区产业项目投资建设协议书》执行</w:t>
      </w:r>
      <w:r>
        <w:rPr>
          <w:rFonts w:ascii="Times New Roman" w:hAnsi="Times New Roman" w:eastAsia="仿宋_GB2312" w:cs="Times New Roman"/>
          <w:sz w:val="32"/>
          <w:szCs w:val="32"/>
          <w:lang w:eastAsia="zh-CN"/>
        </w:rPr>
        <w:t>；</w:t>
      </w:r>
    </w:p>
    <w:bookmarkEnd w:id="28"/>
    <w:p>
      <w:pPr>
        <w:pStyle w:val="9"/>
        <w:tabs>
          <w:tab w:val="left" w:pos="1283"/>
        </w:tabs>
        <w:spacing w:line="520"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十</w:t>
      </w:r>
      <w:r>
        <w:rPr>
          <w:rFonts w:ascii="Times New Roman" w:hAnsi="Times New Roman" w:eastAsia="仿宋_GB2312" w:cs="Times New Roman"/>
          <w:sz w:val="32"/>
          <w:szCs w:val="32"/>
        </w:rPr>
        <w:t>）项目未达到本公告规定的集约用地指标或者非优先发展产业的，用地单位必须按《出让合同》及《仲恺高新区产业项目投资建设协议书》的约定补缴土地出让金及缴交违约金，补缴土地出让金由仲恺高新区国土资源分局委托评估机构进行评估确定，估价期日应以国土资源主管部门依法受理补缴地价申请时点为准；《仲恺高新区产业项目投资建设协议书》的后续监管职责由</w:t>
      </w:r>
      <w:r>
        <w:rPr>
          <w:rFonts w:ascii="Times New Roman" w:hAnsi="Times New Roman" w:eastAsia="仿宋_GB2312" w:cs="Times New Roman"/>
          <w:sz w:val="32"/>
          <w:szCs w:val="32"/>
          <w:lang w:val="en-US" w:eastAsia="zh-CN"/>
        </w:rPr>
        <w:t>相关部门</w:t>
      </w:r>
      <w:r>
        <w:rPr>
          <w:rFonts w:ascii="Times New Roman" w:hAnsi="Times New Roman" w:eastAsia="仿宋_GB2312" w:cs="Times New Roman"/>
          <w:sz w:val="32"/>
          <w:szCs w:val="32"/>
        </w:rPr>
        <w:t>负责对竞得人履行</w:t>
      </w:r>
      <w:r>
        <w:rPr>
          <w:rFonts w:ascii="Times New Roman" w:hAnsi="Times New Roman" w:eastAsia="仿宋_GB2312" w:cs="Times New Roman"/>
          <w:sz w:val="32"/>
          <w:szCs w:val="32"/>
          <w:lang w:eastAsia="zh-CN"/>
        </w:rPr>
        <w:t>；</w:t>
      </w:r>
    </w:p>
    <w:p>
      <w:pPr>
        <w:pStyle w:val="9"/>
        <w:tabs>
          <w:tab w:val="left" w:pos="1283"/>
        </w:tabs>
        <w:spacing w:line="520"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十一</w:t>
      </w:r>
      <w:r>
        <w:rPr>
          <w:rFonts w:ascii="Times New Roman" w:hAnsi="Times New Roman" w:eastAsia="仿宋_GB2312" w:cs="Times New Roman"/>
          <w:sz w:val="32"/>
          <w:szCs w:val="32"/>
        </w:rPr>
        <w:t>）</w:t>
      </w:r>
      <w:r>
        <w:rPr>
          <w:rFonts w:ascii="Times New Roman" w:hAnsi="Times New Roman" w:eastAsia="仿宋_GB2312" w:cs="Times New Roman"/>
          <w:sz w:val="32"/>
          <w:szCs w:val="32"/>
          <w:lang w:val="en-US" w:eastAsia="zh-CN"/>
        </w:rPr>
        <w:t>本公告</w:t>
      </w:r>
      <w:r>
        <w:rPr>
          <w:rFonts w:hint="eastAsia" w:ascii="Times New Roman" w:hAnsi="Times New Roman" w:eastAsia="仿宋_GB2312" w:cs="Times New Roman"/>
          <w:sz w:val="32"/>
          <w:szCs w:val="32"/>
          <w:lang w:val="en-US" w:eastAsia="zh-CN"/>
        </w:rPr>
        <w:t>4宗</w:t>
      </w:r>
      <w:r>
        <w:rPr>
          <w:rFonts w:ascii="Times New Roman" w:hAnsi="Times New Roman" w:eastAsia="仿宋_GB2312" w:cs="Times New Roman"/>
          <w:sz w:val="32"/>
          <w:szCs w:val="32"/>
        </w:rPr>
        <w:t>地</w:t>
      </w:r>
      <w:r>
        <w:rPr>
          <w:rFonts w:ascii="Times New Roman" w:hAnsi="Times New Roman" w:eastAsia="仿宋_GB2312" w:cs="Times New Roman"/>
          <w:sz w:val="32"/>
          <w:szCs w:val="32"/>
          <w:lang w:val="en-US" w:eastAsia="zh-CN"/>
        </w:rPr>
        <w:t>设计方案应满足《规划设计条件告知书》要求，而《规划设计条件告知书》未明确的相关内容应符合现行国家、省、市有关的法律、法规、技术规范标准和政策等规定；</w:t>
      </w:r>
    </w:p>
    <w:p>
      <w:pPr>
        <w:pStyle w:val="9"/>
        <w:tabs>
          <w:tab w:val="left" w:pos="1283"/>
        </w:tabs>
        <w:spacing w:line="520"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rPr>
        <w:t>（</w:t>
      </w:r>
      <w:r>
        <w:rPr>
          <w:rFonts w:ascii="Times New Roman" w:hAnsi="Times New Roman" w:eastAsia="仿宋_GB2312" w:cs="Times New Roman"/>
          <w:sz w:val="32"/>
          <w:szCs w:val="32"/>
          <w:lang w:val="en-US" w:eastAsia="zh-CN"/>
        </w:rPr>
        <w:t>十</w:t>
      </w:r>
      <w:r>
        <w:rPr>
          <w:rFonts w:hint="eastAsia" w:ascii="Times New Roman" w:hAnsi="Times New Roman" w:eastAsia="仿宋_GB2312" w:cs="Times New Roman"/>
          <w:sz w:val="32"/>
          <w:szCs w:val="32"/>
          <w:lang w:val="en-US" w:eastAsia="zh-CN"/>
        </w:rPr>
        <w:t>二</w:t>
      </w:r>
      <w:r>
        <w:rPr>
          <w:rFonts w:ascii="Times New Roman" w:hAnsi="Times New Roman" w:eastAsia="仿宋_GB2312" w:cs="Times New Roman"/>
          <w:sz w:val="32"/>
          <w:szCs w:val="32"/>
        </w:rPr>
        <w:t>）</w:t>
      </w:r>
      <w:r>
        <w:rPr>
          <w:rFonts w:ascii="Times New Roman" w:hAnsi="Times New Roman" w:eastAsia="仿宋_GB2312" w:cs="Times New Roman"/>
          <w:sz w:val="32"/>
          <w:szCs w:val="32"/>
          <w:lang w:val="en-US" w:eastAsia="zh-CN"/>
        </w:rPr>
        <w:t>本公告</w:t>
      </w:r>
      <w:r>
        <w:rPr>
          <w:rFonts w:hint="eastAsia" w:ascii="Times New Roman" w:hAnsi="Times New Roman" w:eastAsia="仿宋_GB2312" w:cs="Times New Roman"/>
          <w:sz w:val="32"/>
          <w:szCs w:val="32"/>
          <w:lang w:val="en-US" w:eastAsia="zh-CN"/>
        </w:rPr>
        <w:t>4宗</w:t>
      </w:r>
      <w:r>
        <w:rPr>
          <w:rFonts w:ascii="Times New Roman" w:hAnsi="Times New Roman" w:eastAsia="仿宋_GB2312" w:cs="Times New Roman"/>
          <w:sz w:val="32"/>
          <w:szCs w:val="32"/>
        </w:rPr>
        <w:t>地交易全程适用《惠州市政务服务数据管理局惠州市公共资源交易中心公共资源电子交易规则》（惠市政数〔2022〕3号）。</w:t>
      </w:r>
    </w:p>
    <w:p>
      <w:pPr>
        <w:pStyle w:val="9"/>
        <w:tabs>
          <w:tab w:val="left" w:pos="1326"/>
        </w:tabs>
        <w:spacing w:line="520" w:lineRule="exact"/>
        <w:ind w:firstLine="660"/>
        <w:jc w:val="both"/>
        <w:rPr>
          <w:rFonts w:ascii="Times New Roman" w:hAnsi="Times New Roman" w:eastAsia="黑体" w:cs="Times New Roman"/>
          <w:sz w:val="32"/>
          <w:szCs w:val="32"/>
        </w:rPr>
      </w:pPr>
      <w:r>
        <w:rPr>
          <w:rFonts w:ascii="Times New Roman" w:hAnsi="Times New Roman" w:eastAsia="黑体" w:cs="Times New Roman"/>
          <w:sz w:val="32"/>
          <w:szCs w:val="32"/>
          <w:lang w:val="en-US" w:eastAsia="zh-CN"/>
        </w:rPr>
        <w:t>十四</w:t>
      </w:r>
      <w:r>
        <w:rPr>
          <w:rFonts w:ascii="Times New Roman" w:hAnsi="Times New Roman" w:eastAsia="黑体" w:cs="Times New Roman"/>
          <w:sz w:val="32"/>
          <w:szCs w:val="32"/>
        </w:rPr>
        <w:t>、联系方式</w:t>
      </w:r>
    </w:p>
    <w:p>
      <w:pPr>
        <w:pStyle w:val="9"/>
        <w:tabs>
          <w:tab w:val="left" w:pos="1283"/>
        </w:tabs>
        <w:spacing w:line="52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出让方：惠州市仲恺高新区国土资源分局</w:t>
      </w:r>
    </w:p>
    <w:p>
      <w:pPr>
        <w:pStyle w:val="9"/>
        <w:tabs>
          <w:tab w:val="left" w:pos="1283"/>
        </w:tabs>
        <w:spacing w:line="52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联系地址：广东省惠州市仲恺高新区和畅五路人才服务大厦5楼</w:t>
      </w:r>
    </w:p>
    <w:p>
      <w:pPr>
        <w:pStyle w:val="9"/>
        <w:tabs>
          <w:tab w:val="left" w:pos="1283"/>
        </w:tabs>
        <w:spacing w:line="520" w:lineRule="exact"/>
        <w:ind w:firstLine="640" w:firstLineChars="200"/>
        <w:jc w:val="both"/>
        <w:rPr>
          <w:rFonts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联系人：</w:t>
      </w:r>
      <w:r>
        <w:rPr>
          <w:rFonts w:hint="eastAsia" w:ascii="Times New Roman" w:hAnsi="Times New Roman" w:eastAsia="仿宋_GB2312" w:cs="Times New Roman"/>
          <w:sz w:val="32"/>
          <w:szCs w:val="32"/>
          <w:lang w:val="en-US" w:eastAsia="zh-CN"/>
        </w:rPr>
        <w:t>胡女士 赖先生 游女士 张先生</w:t>
      </w:r>
    </w:p>
    <w:p>
      <w:pPr>
        <w:pStyle w:val="9"/>
        <w:tabs>
          <w:tab w:val="left" w:pos="1283"/>
        </w:tabs>
        <w:spacing w:line="52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联系电话：</w:t>
      </w:r>
      <w:r>
        <w:rPr>
          <w:rFonts w:ascii="Times New Roman" w:hAnsi="Times New Roman" w:eastAsia="仿宋_GB2312" w:cs="Times New Roman"/>
          <w:sz w:val="32"/>
          <w:szCs w:val="32"/>
          <w:lang w:val="en-US" w:eastAsia="en-US"/>
        </w:rPr>
        <w:t>0752-32716</w:t>
      </w:r>
      <w:r>
        <w:rPr>
          <w:rFonts w:ascii="Times New Roman" w:hAnsi="Times New Roman" w:eastAsia="仿宋_GB2312" w:cs="Times New Roman"/>
          <w:sz w:val="32"/>
          <w:szCs w:val="32"/>
          <w:lang w:val="en-US" w:eastAsia="zh-CN"/>
        </w:rPr>
        <w:t>01</w:t>
      </w:r>
      <w:r>
        <w:rPr>
          <w:rFonts w:hint="eastAsia" w:ascii="Times New Roman" w:hAnsi="Times New Roman" w:eastAsia="仿宋_GB2312" w:cs="Times New Roman"/>
          <w:sz w:val="32"/>
          <w:szCs w:val="32"/>
          <w:lang w:val="en-US" w:eastAsia="zh-CN"/>
        </w:rPr>
        <w:t>、</w:t>
      </w:r>
      <w:r>
        <w:rPr>
          <w:rFonts w:ascii="Times New Roman" w:hAnsi="Times New Roman" w:eastAsia="仿宋_GB2312" w:cs="Times New Roman"/>
          <w:sz w:val="32"/>
          <w:szCs w:val="32"/>
          <w:lang w:val="en-US" w:eastAsia="en-US"/>
        </w:rPr>
        <w:t>0752-32716</w:t>
      </w:r>
      <w:r>
        <w:rPr>
          <w:rFonts w:ascii="Times New Roman" w:hAnsi="Times New Roman" w:eastAsia="仿宋_GB2312" w:cs="Times New Roman"/>
          <w:sz w:val="32"/>
          <w:szCs w:val="32"/>
          <w:lang w:val="en-US" w:eastAsia="zh-CN"/>
        </w:rPr>
        <w:t>3</w:t>
      </w:r>
      <w:r>
        <w:rPr>
          <w:rFonts w:hint="eastAsia" w:ascii="Times New Roman" w:hAnsi="Times New Roman" w:eastAsia="仿宋_GB2312" w:cs="Times New Roman"/>
          <w:sz w:val="32"/>
          <w:szCs w:val="32"/>
          <w:lang w:val="en-US" w:eastAsia="zh-CN"/>
        </w:rPr>
        <w:t>3、</w:t>
      </w:r>
      <w:r>
        <w:rPr>
          <w:rFonts w:ascii="Times New Roman" w:hAnsi="Times New Roman" w:eastAsia="仿宋_GB2312" w:cs="Times New Roman"/>
          <w:sz w:val="32"/>
          <w:szCs w:val="32"/>
          <w:lang w:val="en-US" w:eastAsia="en-US"/>
        </w:rPr>
        <w:t>0752-32716</w:t>
      </w:r>
      <w:r>
        <w:rPr>
          <w:rFonts w:ascii="Times New Roman" w:hAnsi="Times New Roman" w:eastAsia="仿宋_GB2312" w:cs="Times New Roman"/>
          <w:sz w:val="32"/>
          <w:szCs w:val="32"/>
          <w:lang w:val="en-US" w:eastAsia="zh-CN"/>
        </w:rPr>
        <w:t>36</w:t>
      </w:r>
    </w:p>
    <w:p>
      <w:pPr>
        <w:pStyle w:val="9"/>
        <w:tabs>
          <w:tab w:val="left" w:pos="1283"/>
        </w:tabs>
        <w:spacing w:line="52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交易机构：惠州市公共资源交易中心仲恺分中心</w:t>
      </w:r>
    </w:p>
    <w:p>
      <w:pPr>
        <w:pStyle w:val="9"/>
        <w:tabs>
          <w:tab w:val="left" w:pos="1283"/>
        </w:tabs>
        <w:spacing w:line="52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联系地址：广东省惠州市仲恺高新区和畅五路人才服务大厦10楼</w:t>
      </w:r>
    </w:p>
    <w:p>
      <w:pPr>
        <w:pStyle w:val="9"/>
        <w:tabs>
          <w:tab w:val="left" w:pos="1283"/>
        </w:tabs>
        <w:spacing w:line="520" w:lineRule="exact"/>
        <w:ind w:firstLine="640" w:firstLineChars="200"/>
        <w:jc w:val="both"/>
        <w:rPr>
          <w:rFonts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联系人：</w:t>
      </w:r>
      <w:r>
        <w:rPr>
          <w:rFonts w:hint="eastAsia" w:ascii="Times New Roman" w:hAnsi="Times New Roman" w:eastAsia="仿宋_GB2312" w:cs="Times New Roman"/>
          <w:sz w:val="32"/>
          <w:szCs w:val="32"/>
          <w:lang w:val="en-US" w:eastAsia="zh-CN"/>
        </w:rPr>
        <w:t xml:space="preserve">汪先生 </w:t>
      </w:r>
      <w:r>
        <w:rPr>
          <w:rFonts w:ascii="Times New Roman" w:hAnsi="Times New Roman" w:eastAsia="仿宋_GB2312" w:cs="Times New Roman"/>
          <w:sz w:val="32"/>
          <w:szCs w:val="32"/>
          <w:lang w:val="en-US" w:eastAsia="zh-CN"/>
        </w:rPr>
        <w:t>房</w:t>
      </w:r>
      <w:r>
        <w:rPr>
          <w:rFonts w:hint="eastAsia" w:ascii="Times New Roman" w:hAnsi="Times New Roman" w:eastAsia="仿宋_GB2312" w:cs="Times New Roman"/>
          <w:sz w:val="32"/>
          <w:szCs w:val="32"/>
          <w:lang w:val="en-US" w:eastAsia="zh-CN"/>
        </w:rPr>
        <w:t>女士</w:t>
      </w:r>
      <w:r>
        <w:rPr>
          <w:rFonts w:ascii="Times New Roman" w:hAnsi="Times New Roman" w:eastAsia="仿宋_GB2312" w:cs="Times New Roman"/>
          <w:sz w:val="32"/>
          <w:szCs w:val="32"/>
          <w:lang w:val="en-US" w:eastAsia="zh-CN"/>
        </w:rPr>
        <w:t xml:space="preserve"> 欧阳</w:t>
      </w:r>
      <w:r>
        <w:rPr>
          <w:rFonts w:hint="eastAsia" w:ascii="Times New Roman" w:hAnsi="Times New Roman" w:eastAsia="仿宋_GB2312" w:cs="Times New Roman"/>
          <w:sz w:val="32"/>
          <w:szCs w:val="32"/>
          <w:lang w:val="en-US" w:eastAsia="zh-CN"/>
        </w:rPr>
        <w:t xml:space="preserve">先生 </w:t>
      </w:r>
    </w:p>
    <w:p>
      <w:pPr>
        <w:pStyle w:val="9"/>
        <w:tabs>
          <w:tab w:val="left" w:pos="1283"/>
        </w:tabs>
        <w:spacing w:line="520" w:lineRule="exact"/>
        <w:ind w:firstLine="640" w:firstLineChars="200"/>
        <w:jc w:val="both"/>
        <w:rPr>
          <w:rFonts w:ascii="Times New Roman" w:hAnsi="Times New Roman" w:eastAsia="仿宋_GB2312" w:cs="Times New Roman"/>
          <w:sz w:val="32"/>
          <w:szCs w:val="32"/>
          <w:lang w:val="en-US" w:eastAsia="en-US"/>
        </w:rPr>
      </w:pPr>
      <w:r>
        <w:rPr>
          <w:rFonts w:ascii="Times New Roman" w:hAnsi="Times New Roman" w:eastAsia="仿宋_GB2312" w:cs="Times New Roman"/>
          <w:sz w:val="32"/>
          <w:szCs w:val="32"/>
        </w:rPr>
        <w:t>联系电话：</w:t>
      </w:r>
      <w:r>
        <w:rPr>
          <w:rFonts w:ascii="Times New Roman" w:hAnsi="Times New Roman" w:eastAsia="仿宋_GB2312" w:cs="Times New Roman"/>
          <w:sz w:val="32"/>
          <w:szCs w:val="32"/>
          <w:lang w:val="en-US" w:eastAsia="en-US"/>
        </w:rPr>
        <w:t>0752-3278419</w:t>
      </w:r>
    </w:p>
    <w:p>
      <w:pPr>
        <w:pStyle w:val="9"/>
        <w:tabs>
          <w:tab w:val="left" w:pos="1283"/>
        </w:tabs>
        <w:spacing w:line="520" w:lineRule="exact"/>
        <w:ind w:firstLine="0"/>
        <w:jc w:val="both"/>
        <w:rPr>
          <w:rFonts w:ascii="Times New Roman" w:hAnsi="Times New Roman" w:eastAsia="仿宋_GB2312" w:cs="Times New Roman"/>
          <w:sz w:val="32"/>
          <w:szCs w:val="32"/>
        </w:rPr>
      </w:pPr>
    </w:p>
    <w:p>
      <w:pPr>
        <w:pStyle w:val="9"/>
        <w:tabs>
          <w:tab w:val="left" w:pos="1283"/>
        </w:tabs>
        <w:spacing w:line="52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注：本公告同时在下列网站及场所发布</w:t>
      </w:r>
    </w:p>
    <w:p>
      <w:pPr>
        <w:pStyle w:val="9"/>
        <w:tabs>
          <w:tab w:val="left" w:pos="1283"/>
        </w:tabs>
        <w:spacing w:line="52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中国土地市场网：</w:t>
      </w:r>
      <w:r>
        <w:rPr>
          <w:rFonts w:ascii="Times New Roman" w:hAnsi="Times New Roman" w:eastAsia="仿宋_GB2312" w:cs="Times New Roman"/>
          <w:sz w:val="32"/>
          <w:szCs w:val="32"/>
          <w:lang w:val="en-US" w:eastAsia="en-US"/>
        </w:rPr>
        <w:t>http://www.landchina.com</w:t>
      </w:r>
    </w:p>
    <w:p>
      <w:pPr>
        <w:pStyle w:val="9"/>
        <w:tabs>
          <w:tab w:val="left" w:pos="1283"/>
        </w:tabs>
        <w:spacing w:line="52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惠州市公共资源交易中心网：</w:t>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HYPERLINK "http://zyjy.huizhou.gov.cn"</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lang w:val="en-US" w:eastAsia="en-US"/>
        </w:rPr>
        <w:t>http://zyjy.huizhou.gov.cn</w:t>
      </w:r>
      <w:r>
        <w:rPr>
          <w:rFonts w:ascii="Times New Roman" w:hAnsi="Times New Roman" w:eastAsia="仿宋_GB2312" w:cs="Times New Roman"/>
          <w:sz w:val="32"/>
          <w:szCs w:val="32"/>
        </w:rPr>
        <w:fldChar w:fldCharType="end"/>
      </w:r>
    </w:p>
    <w:p>
      <w:pPr>
        <w:pStyle w:val="9"/>
        <w:tabs>
          <w:tab w:val="left" w:pos="1283"/>
        </w:tabs>
        <w:spacing w:line="52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惠州市公共资源交易中心仲恺分中心网站：</w:t>
      </w:r>
    </w:p>
    <w:p>
      <w:pPr>
        <w:pStyle w:val="9"/>
        <w:tabs>
          <w:tab w:val="left" w:pos="1283"/>
        </w:tabs>
        <w:spacing w:line="520" w:lineRule="exact"/>
        <w:ind w:firstLine="600" w:firstLineChars="200"/>
        <w:jc w:val="both"/>
        <w:rPr>
          <w:rFonts w:ascii="Times New Roman" w:hAnsi="Times New Roman" w:eastAsia="仿宋_GB2312" w:cs="Times New Roman"/>
          <w:sz w:val="32"/>
          <w:szCs w:val="32"/>
        </w:rPr>
      </w:pPr>
      <w:r>
        <w:fldChar w:fldCharType="begin"/>
      </w:r>
      <w:r>
        <w:instrText xml:space="preserve"> HYPERLINK "http://www.hzzk.gov.cn/gwhbm/hzsggzyjyzxzzfzx/index.html" </w:instrText>
      </w:r>
      <w:r>
        <w:fldChar w:fldCharType="separate"/>
      </w:r>
      <w:r>
        <w:rPr>
          <w:rFonts w:ascii="Times New Roman" w:hAnsi="Times New Roman" w:eastAsia="仿宋_GB2312" w:cs="Times New Roman"/>
          <w:sz w:val="32"/>
          <w:szCs w:val="32"/>
          <w:lang w:val="en-US" w:eastAsia="en-US"/>
        </w:rPr>
        <w:t>http</w:t>
      </w:r>
      <w:r>
        <w:rPr>
          <w:rFonts w:ascii="Times New Roman" w:hAnsi="Times New Roman" w:eastAsia="仿宋_GB2312" w:cs="Times New Roman"/>
          <w:sz w:val="32"/>
          <w:szCs w:val="32"/>
        </w:rPr>
        <w:t xml:space="preserve">: </w:t>
      </w:r>
      <w:r>
        <w:rPr>
          <w:rFonts w:ascii="Times New Roman" w:hAnsi="Times New Roman" w:eastAsia="仿宋_GB2312" w:cs="Times New Roman"/>
          <w:sz w:val="32"/>
          <w:szCs w:val="32"/>
          <w:lang w:val="en-US" w:eastAsia="en-US"/>
        </w:rPr>
        <w:t>//www.hzzk.gov.cn/gwhbm/hzsggzyjyzxzzf</w:t>
      </w:r>
      <w:r>
        <w:rPr>
          <w:rFonts w:ascii="Times New Roman" w:hAnsi="Times New Roman" w:eastAsia="仿宋_GB2312" w:cs="Times New Roman"/>
          <w:sz w:val="32"/>
          <w:szCs w:val="32"/>
          <w:lang w:val="en-US" w:eastAsia="zh-CN"/>
        </w:rPr>
        <w:t>z</w:t>
      </w:r>
      <w:r>
        <w:rPr>
          <w:rFonts w:ascii="Times New Roman" w:hAnsi="Times New Roman" w:eastAsia="仿宋_GB2312" w:cs="Times New Roman"/>
          <w:sz w:val="32"/>
          <w:szCs w:val="32"/>
          <w:lang w:val="en-US" w:eastAsia="en-US"/>
        </w:rPr>
        <w:t>x/index. html</w:t>
      </w:r>
      <w:r>
        <w:rPr>
          <w:rFonts w:ascii="Times New Roman" w:hAnsi="Times New Roman" w:eastAsia="仿宋_GB2312" w:cs="Times New Roman"/>
          <w:sz w:val="32"/>
          <w:szCs w:val="32"/>
          <w:lang w:val="en-US" w:eastAsia="en-US"/>
        </w:rPr>
        <w:fldChar w:fldCharType="end"/>
      </w:r>
    </w:p>
    <w:p>
      <w:pPr>
        <w:pStyle w:val="9"/>
        <w:tabs>
          <w:tab w:val="left" w:pos="1283"/>
        </w:tabs>
        <w:spacing w:line="52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惠州市仲恺高新区国土资源分局网站：</w:t>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HYPERLINK "http://www.hzzk.gov.cn/gwhbm/zzgxqgtzyfj/"</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lang w:val="en-US" w:eastAsia="en-US"/>
        </w:rPr>
        <w:t>http://www.hzzk.gov.cn/gwhbm/zzgxqgtzyfj/</w:t>
      </w:r>
      <w:r>
        <w:rPr>
          <w:rFonts w:ascii="Times New Roman" w:hAnsi="Times New Roman" w:eastAsia="仿宋_GB2312" w:cs="Times New Roman"/>
          <w:sz w:val="32"/>
          <w:szCs w:val="32"/>
        </w:rPr>
        <w:fldChar w:fldCharType="end"/>
      </w:r>
    </w:p>
    <w:p>
      <w:pPr>
        <w:pStyle w:val="9"/>
        <w:tabs>
          <w:tab w:val="left" w:pos="1283"/>
        </w:tabs>
        <w:spacing w:line="52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惠州市公共资源交易中心仲恺分中心服务大厅电子屏幕。</w:t>
      </w:r>
    </w:p>
    <w:p>
      <w:pPr>
        <w:pStyle w:val="9"/>
        <w:tabs>
          <w:tab w:val="left" w:pos="1283"/>
        </w:tabs>
        <w:spacing w:line="52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数字证书办理地址：广东省惠州市惠城区三新北路31号市 民服务中心3号楼惠州市公共资源交易中心一楼大厅1号土地与矿业交易窗口。</w:t>
      </w:r>
    </w:p>
    <w:p>
      <w:pPr>
        <w:pStyle w:val="9"/>
        <w:tabs>
          <w:tab w:val="left" w:pos="1283"/>
        </w:tabs>
        <w:spacing w:line="52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联系人：罗工</w:t>
      </w:r>
    </w:p>
    <w:p>
      <w:pPr>
        <w:pStyle w:val="9"/>
        <w:tabs>
          <w:tab w:val="left" w:pos="1283"/>
        </w:tabs>
        <w:spacing w:line="520" w:lineRule="exact"/>
        <w:ind w:firstLine="640" w:firstLineChars="200"/>
        <w:jc w:val="both"/>
        <w:rPr>
          <w:rFonts w:ascii="Times New Roman" w:hAnsi="Times New Roman" w:eastAsia="仿宋_GB2312" w:cs="Times New Roman"/>
          <w:sz w:val="32"/>
          <w:szCs w:val="32"/>
          <w:lang w:val="en-US" w:eastAsia="en-US"/>
        </w:rPr>
      </w:pPr>
      <w:r>
        <w:rPr>
          <w:rFonts w:ascii="Times New Roman" w:hAnsi="Times New Roman" w:eastAsia="仿宋_GB2312" w:cs="Times New Roman"/>
          <w:sz w:val="32"/>
          <w:szCs w:val="32"/>
        </w:rPr>
        <w:t>联系电话：</w:t>
      </w:r>
      <w:r>
        <w:rPr>
          <w:rFonts w:ascii="Times New Roman" w:hAnsi="Times New Roman" w:eastAsia="仿宋_GB2312" w:cs="Times New Roman"/>
          <w:sz w:val="32"/>
          <w:szCs w:val="32"/>
          <w:lang w:val="en-US" w:eastAsia="en-US"/>
        </w:rPr>
        <w:t>0752-7121029</w:t>
      </w:r>
    </w:p>
    <w:p>
      <w:pPr>
        <w:pStyle w:val="9"/>
        <w:tabs>
          <w:tab w:val="left" w:pos="1283"/>
        </w:tabs>
        <w:spacing w:line="520" w:lineRule="exact"/>
        <w:jc w:val="both"/>
        <w:rPr>
          <w:rFonts w:ascii="Times New Roman" w:hAnsi="Times New Roman" w:eastAsia="仿宋_GB2312" w:cs="Times New Roman"/>
          <w:sz w:val="32"/>
          <w:szCs w:val="32"/>
          <w:lang w:val="en-US" w:eastAsia="zh-CN"/>
        </w:rPr>
      </w:pPr>
    </w:p>
    <w:p>
      <w:pPr>
        <w:pStyle w:val="9"/>
        <w:tabs>
          <w:tab w:val="left" w:pos="1283"/>
        </w:tabs>
        <w:spacing w:line="520" w:lineRule="exact"/>
        <w:jc w:val="both"/>
        <w:rPr>
          <w:rFonts w:ascii="Times New Roman" w:hAnsi="Times New Roman" w:eastAsia="仿宋_GB2312" w:cs="Times New Roman"/>
          <w:sz w:val="32"/>
          <w:szCs w:val="32"/>
          <w:lang w:val="en-US" w:eastAsia="zh-CN"/>
        </w:rPr>
      </w:pPr>
    </w:p>
    <w:p>
      <w:pPr>
        <w:pStyle w:val="9"/>
        <w:tabs>
          <w:tab w:val="left" w:pos="1283"/>
        </w:tabs>
        <w:spacing w:line="520" w:lineRule="exact"/>
        <w:ind w:firstLine="640" w:firstLineChars="200"/>
        <w:jc w:val="both"/>
        <w:rPr>
          <w:rFonts w:ascii="Times New Roman" w:hAnsi="Times New Roman" w:eastAsia="仿宋_GB2312" w:cs="Times New Roman"/>
          <w:sz w:val="32"/>
          <w:szCs w:val="32"/>
          <w:lang w:val="en-US" w:eastAsia="zh-CN"/>
        </w:rPr>
      </w:pPr>
    </w:p>
    <w:p>
      <w:pPr>
        <w:pStyle w:val="9"/>
        <w:tabs>
          <w:tab w:val="left" w:pos="1283"/>
        </w:tabs>
        <w:spacing w:line="520" w:lineRule="exact"/>
        <w:ind w:firstLine="640" w:firstLineChars="200"/>
        <w:jc w:val="both"/>
        <w:rPr>
          <w:rFonts w:ascii="Times New Roman" w:hAnsi="Times New Roman" w:eastAsia="仿宋_GB2312" w:cs="Times New Roman"/>
          <w:sz w:val="32"/>
          <w:szCs w:val="32"/>
          <w:lang w:val="en-US" w:eastAsia="zh-CN"/>
        </w:rPr>
      </w:pPr>
    </w:p>
    <w:p>
      <w:pPr>
        <w:pStyle w:val="9"/>
        <w:tabs>
          <w:tab w:val="left" w:pos="1283"/>
        </w:tabs>
        <w:spacing w:line="520" w:lineRule="exact"/>
        <w:ind w:firstLine="640" w:firstLineChars="200"/>
        <w:jc w:val="both"/>
        <w:rPr>
          <w:rFonts w:ascii="Times New Roman" w:hAnsi="Times New Roman" w:eastAsia="仿宋_GB2312" w:cs="Times New Roman"/>
          <w:sz w:val="32"/>
          <w:szCs w:val="32"/>
          <w:lang w:val="en-US" w:eastAsia="zh-CN"/>
        </w:rPr>
      </w:pPr>
    </w:p>
    <w:p>
      <w:pPr>
        <w:pStyle w:val="2"/>
        <w:wordWrap w:val="0"/>
        <w:spacing w:line="520" w:lineRule="exact"/>
        <w:ind w:firstLine="3200" w:firstLineChars="1000"/>
        <w:jc w:val="right"/>
        <w:rPr>
          <w:rFonts w:eastAsia="仿宋_GB2312"/>
          <w:color w:val="auto"/>
          <w:sz w:val="32"/>
          <w:szCs w:val="32"/>
          <w:u w:val="single"/>
          <w:lang w:eastAsia="zh-CN"/>
        </w:rPr>
      </w:pPr>
      <w:r>
        <w:rPr>
          <w:rFonts w:eastAsia="仿宋_GB2312"/>
          <w:color w:val="auto"/>
          <w:sz w:val="32"/>
          <w:szCs w:val="32"/>
          <w:lang w:eastAsia="zh-CN"/>
        </w:rPr>
        <w:t xml:space="preserve">仲恺高新区国土资源分局    </w:t>
      </w:r>
    </w:p>
    <w:p>
      <w:pPr>
        <w:spacing w:line="520" w:lineRule="exact"/>
        <w:jc w:val="center"/>
        <w:rPr>
          <w:rFonts w:eastAsia="仿宋_GB2312"/>
          <w:color w:val="auto"/>
          <w:sz w:val="32"/>
          <w:szCs w:val="32"/>
          <w:lang w:eastAsia="zh-CN"/>
        </w:rPr>
      </w:pPr>
      <w:r>
        <w:rPr>
          <w:rFonts w:eastAsia="仿宋_GB2312"/>
          <w:color w:val="auto"/>
          <w:sz w:val="32"/>
          <w:szCs w:val="32"/>
          <w:lang w:eastAsia="zh-CN"/>
        </w:rPr>
        <w:t xml:space="preserve">                          </w:t>
      </w:r>
      <w:r>
        <w:rPr>
          <w:rFonts w:hint="eastAsia" w:eastAsia="仿宋_GB2312"/>
          <w:color w:val="auto"/>
          <w:sz w:val="32"/>
          <w:szCs w:val="32"/>
          <w:lang w:eastAsia="zh-CN"/>
        </w:rPr>
        <w:t>2023</w:t>
      </w:r>
      <w:r>
        <w:rPr>
          <w:rFonts w:eastAsia="仿宋_GB2312"/>
          <w:color w:val="auto"/>
          <w:sz w:val="32"/>
          <w:szCs w:val="32"/>
        </w:rPr>
        <w:t>年</w:t>
      </w:r>
      <w:r>
        <w:rPr>
          <w:rFonts w:hint="eastAsia" w:eastAsia="仿宋_GB2312"/>
          <w:color w:val="auto"/>
          <w:sz w:val="32"/>
          <w:szCs w:val="32"/>
          <w:lang w:eastAsia="zh-CN"/>
        </w:rPr>
        <w:t>1</w:t>
      </w:r>
      <w:r>
        <w:rPr>
          <w:rFonts w:eastAsia="仿宋_GB2312"/>
          <w:color w:val="auto"/>
          <w:sz w:val="32"/>
          <w:szCs w:val="32"/>
        </w:rPr>
        <w:t>月</w:t>
      </w:r>
      <w:r>
        <w:rPr>
          <w:rFonts w:hint="eastAsia" w:eastAsia="仿宋_GB2312"/>
          <w:color w:val="auto"/>
          <w:sz w:val="32"/>
          <w:szCs w:val="32"/>
          <w:lang w:eastAsia="zh-CN"/>
        </w:rPr>
        <w:t>19</w:t>
      </w:r>
      <w:r>
        <w:rPr>
          <w:rFonts w:eastAsia="仿宋_GB2312"/>
          <w:color w:val="auto"/>
          <w:sz w:val="32"/>
          <w:szCs w:val="32"/>
          <w:lang w:eastAsia="zh-CN"/>
        </w:rPr>
        <w:t>日</w:t>
      </w:r>
    </w:p>
    <w:p>
      <w:pPr>
        <w:pStyle w:val="7"/>
        <w:ind w:firstLine="640"/>
        <w:rPr>
          <w:rFonts w:ascii="Times New Roman" w:hAnsi="Times New Roman" w:eastAsia="仿宋_GB2312"/>
          <w:szCs w:val="32"/>
        </w:rPr>
      </w:pPr>
    </w:p>
    <w:p>
      <w:pPr>
        <w:pStyle w:val="7"/>
        <w:ind w:firstLine="640"/>
        <w:rPr>
          <w:rFonts w:ascii="Times New Roman" w:hAnsi="Times New Roman" w:eastAsia="仿宋_GB2312"/>
          <w:szCs w:val="32"/>
        </w:rPr>
      </w:pPr>
    </w:p>
    <w:p>
      <w:pPr>
        <w:pStyle w:val="7"/>
        <w:ind w:firstLine="640"/>
        <w:rPr>
          <w:rFonts w:ascii="Times New Roman" w:hAnsi="Times New Roman" w:eastAsia="仿宋_GB2312"/>
          <w:szCs w:val="32"/>
        </w:rPr>
        <w:sectPr>
          <w:pgSz w:w="11906" w:h="16838"/>
          <w:pgMar w:top="2098" w:right="1474" w:bottom="1984" w:left="1587" w:header="851" w:footer="992" w:gutter="0"/>
          <w:cols w:space="720" w:num="1"/>
          <w:docGrid w:type="lines" w:linePitch="312" w:charSpace="0"/>
        </w:sectPr>
      </w:pPr>
    </w:p>
    <w:p>
      <w:pPr>
        <w:tabs>
          <w:tab w:val="left" w:pos="11340"/>
        </w:tabs>
        <w:spacing w:line="0" w:lineRule="atLeast"/>
        <w:jc w:val="center"/>
        <w:rPr>
          <w:rFonts w:eastAsia="仿宋_GB2312"/>
          <w:color w:val="auto"/>
          <w:sz w:val="32"/>
          <w:szCs w:val="32"/>
        </w:rPr>
      </w:pPr>
      <w:r>
        <w:rPr>
          <w:rFonts w:eastAsia="方正小标宋简体"/>
          <w:color w:val="auto"/>
          <w:sz w:val="32"/>
          <w:szCs w:val="32"/>
        </w:rPr>
        <w:t>挂牌起始价及地块规划建设要求等主要指标附表</w:t>
      </w:r>
    </w:p>
    <w:tbl>
      <w:tblPr>
        <w:tblStyle w:val="5"/>
        <w:tblpPr w:leftFromText="180" w:rightFromText="180" w:vertAnchor="text" w:horzAnchor="page" w:tblpXSpec="center" w:tblpY="137"/>
        <w:tblOverlap w:val="never"/>
        <w:tblW w:w="156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709"/>
        <w:gridCol w:w="661"/>
        <w:gridCol w:w="640"/>
        <w:gridCol w:w="487"/>
        <w:gridCol w:w="695"/>
        <w:gridCol w:w="755"/>
        <w:gridCol w:w="1000"/>
        <w:gridCol w:w="559"/>
        <w:gridCol w:w="747"/>
        <w:gridCol w:w="854"/>
        <w:gridCol w:w="714"/>
        <w:gridCol w:w="714"/>
        <w:gridCol w:w="743"/>
        <w:gridCol w:w="670"/>
        <w:gridCol w:w="772"/>
        <w:gridCol w:w="773"/>
        <w:gridCol w:w="1230"/>
        <w:gridCol w:w="1095"/>
        <w:gridCol w:w="1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17" w:type="dxa"/>
            <w:vMerge w:val="restart"/>
            <w:vAlign w:val="center"/>
          </w:tcPr>
          <w:p>
            <w:pPr>
              <w:pStyle w:val="10"/>
              <w:spacing w:line="0" w:lineRule="atLeast"/>
              <w:jc w:val="center"/>
              <w:rPr>
                <w:sz w:val="18"/>
                <w:szCs w:val="18"/>
              </w:rPr>
            </w:pPr>
            <w:r>
              <w:rPr>
                <w:sz w:val="18"/>
                <w:szCs w:val="18"/>
              </w:rPr>
              <w:t>地块挂牌编号</w:t>
            </w:r>
          </w:p>
        </w:tc>
        <w:tc>
          <w:tcPr>
            <w:tcW w:w="709" w:type="dxa"/>
            <w:vMerge w:val="restart"/>
            <w:vAlign w:val="center"/>
          </w:tcPr>
          <w:p>
            <w:pPr>
              <w:pStyle w:val="10"/>
              <w:spacing w:line="0" w:lineRule="atLeast"/>
              <w:jc w:val="center"/>
              <w:rPr>
                <w:sz w:val="18"/>
                <w:szCs w:val="18"/>
              </w:rPr>
            </w:pPr>
            <w:r>
              <w:rPr>
                <w:sz w:val="18"/>
                <w:szCs w:val="18"/>
              </w:rPr>
              <w:t>土地</w:t>
            </w:r>
          </w:p>
          <w:p>
            <w:pPr>
              <w:pStyle w:val="10"/>
              <w:spacing w:line="0" w:lineRule="atLeast"/>
              <w:jc w:val="center"/>
              <w:rPr>
                <w:sz w:val="18"/>
                <w:szCs w:val="18"/>
              </w:rPr>
            </w:pPr>
            <w:r>
              <w:rPr>
                <w:sz w:val="18"/>
                <w:szCs w:val="18"/>
              </w:rPr>
              <w:t>位置</w:t>
            </w:r>
          </w:p>
        </w:tc>
        <w:tc>
          <w:tcPr>
            <w:tcW w:w="661" w:type="dxa"/>
            <w:vMerge w:val="restart"/>
            <w:vAlign w:val="center"/>
          </w:tcPr>
          <w:p>
            <w:pPr>
              <w:pStyle w:val="10"/>
              <w:spacing w:line="0" w:lineRule="atLeast"/>
              <w:jc w:val="center"/>
              <w:rPr>
                <w:sz w:val="18"/>
                <w:szCs w:val="18"/>
              </w:rPr>
            </w:pPr>
            <w:r>
              <w:rPr>
                <w:sz w:val="18"/>
                <w:szCs w:val="18"/>
              </w:rPr>
              <w:t>用地</w:t>
            </w:r>
          </w:p>
          <w:p>
            <w:pPr>
              <w:pStyle w:val="10"/>
              <w:spacing w:line="0" w:lineRule="atLeast"/>
              <w:jc w:val="center"/>
              <w:rPr>
                <w:sz w:val="18"/>
                <w:szCs w:val="18"/>
              </w:rPr>
            </w:pPr>
            <w:r>
              <w:rPr>
                <w:sz w:val="18"/>
                <w:szCs w:val="18"/>
              </w:rPr>
              <w:t>编号</w:t>
            </w:r>
          </w:p>
        </w:tc>
        <w:tc>
          <w:tcPr>
            <w:tcW w:w="640" w:type="dxa"/>
            <w:vMerge w:val="restart"/>
            <w:vAlign w:val="center"/>
          </w:tcPr>
          <w:p>
            <w:pPr>
              <w:pStyle w:val="10"/>
              <w:spacing w:line="0" w:lineRule="atLeast"/>
              <w:jc w:val="center"/>
              <w:rPr>
                <w:sz w:val="18"/>
                <w:szCs w:val="18"/>
              </w:rPr>
            </w:pPr>
            <w:r>
              <w:rPr>
                <w:sz w:val="18"/>
                <w:szCs w:val="18"/>
              </w:rPr>
              <w:t>宗地总面积（㎡）</w:t>
            </w:r>
          </w:p>
        </w:tc>
        <w:tc>
          <w:tcPr>
            <w:tcW w:w="487" w:type="dxa"/>
            <w:vMerge w:val="restart"/>
            <w:vAlign w:val="center"/>
          </w:tcPr>
          <w:p>
            <w:pPr>
              <w:pStyle w:val="10"/>
              <w:spacing w:line="0" w:lineRule="atLeast"/>
              <w:jc w:val="center"/>
              <w:rPr>
                <w:sz w:val="18"/>
                <w:szCs w:val="18"/>
              </w:rPr>
            </w:pPr>
            <w:r>
              <w:rPr>
                <w:sz w:val="18"/>
                <w:szCs w:val="18"/>
              </w:rPr>
              <w:t>土地</w:t>
            </w:r>
          </w:p>
          <w:p>
            <w:pPr>
              <w:pStyle w:val="10"/>
              <w:spacing w:line="0" w:lineRule="atLeast"/>
              <w:jc w:val="center"/>
              <w:rPr>
                <w:sz w:val="18"/>
                <w:szCs w:val="18"/>
              </w:rPr>
            </w:pPr>
            <w:r>
              <w:rPr>
                <w:sz w:val="18"/>
                <w:szCs w:val="18"/>
              </w:rPr>
              <w:t>用途</w:t>
            </w:r>
          </w:p>
        </w:tc>
        <w:tc>
          <w:tcPr>
            <w:tcW w:w="4610" w:type="dxa"/>
            <w:gridSpan w:val="6"/>
            <w:vAlign w:val="center"/>
          </w:tcPr>
          <w:p>
            <w:pPr>
              <w:pStyle w:val="10"/>
              <w:spacing w:line="0" w:lineRule="atLeast"/>
              <w:jc w:val="center"/>
              <w:rPr>
                <w:sz w:val="18"/>
                <w:szCs w:val="18"/>
              </w:rPr>
            </w:pPr>
            <w:r>
              <w:rPr>
                <w:sz w:val="18"/>
                <w:szCs w:val="18"/>
              </w:rPr>
              <w:t>规划指标</w:t>
            </w:r>
          </w:p>
        </w:tc>
        <w:tc>
          <w:tcPr>
            <w:tcW w:w="714" w:type="dxa"/>
            <w:vMerge w:val="restart"/>
            <w:vAlign w:val="center"/>
          </w:tcPr>
          <w:p>
            <w:pPr>
              <w:pStyle w:val="10"/>
              <w:spacing w:line="0" w:lineRule="atLeast"/>
              <w:jc w:val="center"/>
              <w:rPr>
                <w:sz w:val="18"/>
                <w:szCs w:val="18"/>
              </w:rPr>
            </w:pPr>
            <w:r>
              <w:rPr>
                <w:sz w:val="18"/>
                <w:szCs w:val="18"/>
              </w:rPr>
              <w:t>出让</w:t>
            </w:r>
          </w:p>
          <w:p>
            <w:pPr>
              <w:pStyle w:val="10"/>
              <w:spacing w:line="0" w:lineRule="atLeast"/>
              <w:jc w:val="center"/>
              <w:rPr>
                <w:sz w:val="18"/>
                <w:szCs w:val="18"/>
              </w:rPr>
            </w:pPr>
            <w:r>
              <w:rPr>
                <w:sz w:val="18"/>
                <w:szCs w:val="18"/>
              </w:rPr>
              <w:t>年限（年）</w:t>
            </w:r>
          </w:p>
        </w:tc>
        <w:tc>
          <w:tcPr>
            <w:tcW w:w="714" w:type="dxa"/>
            <w:vMerge w:val="restart"/>
            <w:vAlign w:val="center"/>
          </w:tcPr>
          <w:p>
            <w:pPr>
              <w:pStyle w:val="10"/>
              <w:spacing w:line="0" w:lineRule="atLeast"/>
              <w:jc w:val="center"/>
              <w:rPr>
                <w:sz w:val="18"/>
                <w:szCs w:val="18"/>
              </w:rPr>
            </w:pPr>
            <w:r>
              <w:rPr>
                <w:sz w:val="18"/>
                <w:szCs w:val="18"/>
              </w:rPr>
              <w:t>挂牌</w:t>
            </w:r>
          </w:p>
          <w:p>
            <w:pPr>
              <w:pStyle w:val="10"/>
              <w:spacing w:line="0" w:lineRule="atLeast"/>
              <w:jc w:val="center"/>
              <w:rPr>
                <w:sz w:val="18"/>
                <w:szCs w:val="18"/>
              </w:rPr>
            </w:pPr>
            <w:r>
              <w:rPr>
                <w:sz w:val="18"/>
                <w:szCs w:val="18"/>
              </w:rPr>
              <w:t>起始价</w:t>
            </w:r>
          </w:p>
          <w:p>
            <w:pPr>
              <w:pStyle w:val="10"/>
              <w:spacing w:line="0" w:lineRule="atLeast"/>
              <w:jc w:val="center"/>
              <w:rPr>
                <w:sz w:val="18"/>
                <w:szCs w:val="18"/>
              </w:rPr>
            </w:pPr>
            <w:r>
              <w:rPr>
                <w:sz w:val="18"/>
                <w:szCs w:val="18"/>
              </w:rPr>
              <w:t>（万元）</w:t>
            </w:r>
          </w:p>
        </w:tc>
        <w:tc>
          <w:tcPr>
            <w:tcW w:w="743" w:type="dxa"/>
            <w:vMerge w:val="restart"/>
            <w:vAlign w:val="center"/>
          </w:tcPr>
          <w:p>
            <w:pPr>
              <w:pStyle w:val="10"/>
              <w:spacing w:line="0" w:lineRule="atLeast"/>
              <w:jc w:val="center"/>
              <w:rPr>
                <w:sz w:val="18"/>
                <w:szCs w:val="18"/>
              </w:rPr>
            </w:pPr>
            <w:r>
              <w:rPr>
                <w:sz w:val="18"/>
                <w:szCs w:val="18"/>
              </w:rPr>
              <w:t>加价</w:t>
            </w:r>
          </w:p>
          <w:p>
            <w:pPr>
              <w:pStyle w:val="10"/>
              <w:spacing w:line="0" w:lineRule="atLeast"/>
              <w:jc w:val="center"/>
              <w:rPr>
                <w:sz w:val="18"/>
                <w:szCs w:val="18"/>
              </w:rPr>
            </w:pPr>
            <w:r>
              <w:rPr>
                <w:sz w:val="18"/>
                <w:szCs w:val="18"/>
              </w:rPr>
              <w:t>幅度</w:t>
            </w:r>
          </w:p>
          <w:p>
            <w:pPr>
              <w:pStyle w:val="10"/>
              <w:spacing w:line="0" w:lineRule="atLeast"/>
              <w:jc w:val="center"/>
              <w:rPr>
                <w:sz w:val="18"/>
                <w:szCs w:val="18"/>
              </w:rPr>
            </w:pPr>
            <w:r>
              <w:rPr>
                <w:sz w:val="18"/>
                <w:szCs w:val="18"/>
              </w:rPr>
              <w:t>（万元）</w:t>
            </w:r>
          </w:p>
        </w:tc>
        <w:tc>
          <w:tcPr>
            <w:tcW w:w="670" w:type="dxa"/>
            <w:vMerge w:val="restart"/>
            <w:vAlign w:val="center"/>
          </w:tcPr>
          <w:p>
            <w:pPr>
              <w:pStyle w:val="10"/>
              <w:spacing w:line="0" w:lineRule="atLeast"/>
              <w:jc w:val="center"/>
              <w:rPr>
                <w:sz w:val="18"/>
                <w:szCs w:val="18"/>
              </w:rPr>
            </w:pPr>
            <w:r>
              <w:rPr>
                <w:sz w:val="18"/>
                <w:szCs w:val="18"/>
              </w:rPr>
              <w:t>竞买</w:t>
            </w:r>
          </w:p>
          <w:p>
            <w:pPr>
              <w:pStyle w:val="10"/>
              <w:spacing w:line="0" w:lineRule="atLeast"/>
              <w:jc w:val="center"/>
              <w:rPr>
                <w:sz w:val="18"/>
                <w:szCs w:val="18"/>
              </w:rPr>
            </w:pPr>
            <w:r>
              <w:rPr>
                <w:sz w:val="18"/>
                <w:szCs w:val="18"/>
              </w:rPr>
              <w:t>保证金</w:t>
            </w:r>
          </w:p>
          <w:p>
            <w:pPr>
              <w:pStyle w:val="10"/>
              <w:spacing w:line="0" w:lineRule="atLeast"/>
              <w:jc w:val="center"/>
              <w:rPr>
                <w:sz w:val="18"/>
                <w:szCs w:val="18"/>
              </w:rPr>
            </w:pPr>
            <w:r>
              <w:rPr>
                <w:sz w:val="18"/>
                <w:szCs w:val="18"/>
              </w:rPr>
              <w:t>（万元）</w:t>
            </w:r>
          </w:p>
        </w:tc>
        <w:tc>
          <w:tcPr>
            <w:tcW w:w="772" w:type="dxa"/>
            <w:vMerge w:val="restart"/>
            <w:vAlign w:val="center"/>
          </w:tcPr>
          <w:p>
            <w:pPr>
              <w:pStyle w:val="10"/>
              <w:spacing w:line="0" w:lineRule="atLeast"/>
              <w:jc w:val="center"/>
              <w:rPr>
                <w:sz w:val="18"/>
                <w:szCs w:val="18"/>
              </w:rPr>
            </w:pPr>
            <w:r>
              <w:rPr>
                <w:sz w:val="18"/>
                <w:szCs w:val="18"/>
              </w:rPr>
              <w:t>保证金截止时间</w:t>
            </w:r>
          </w:p>
        </w:tc>
        <w:tc>
          <w:tcPr>
            <w:tcW w:w="773" w:type="dxa"/>
            <w:vMerge w:val="restart"/>
            <w:vAlign w:val="center"/>
          </w:tcPr>
          <w:p>
            <w:pPr>
              <w:pStyle w:val="10"/>
              <w:spacing w:line="0" w:lineRule="atLeast"/>
              <w:jc w:val="center"/>
              <w:rPr>
                <w:sz w:val="18"/>
                <w:szCs w:val="18"/>
              </w:rPr>
            </w:pPr>
            <w:r>
              <w:rPr>
                <w:sz w:val="18"/>
                <w:szCs w:val="18"/>
              </w:rPr>
              <w:t>投资强度</w:t>
            </w:r>
          </w:p>
        </w:tc>
        <w:tc>
          <w:tcPr>
            <w:tcW w:w="1230" w:type="dxa"/>
            <w:vMerge w:val="restart"/>
            <w:vAlign w:val="center"/>
          </w:tcPr>
          <w:p>
            <w:pPr>
              <w:pStyle w:val="10"/>
              <w:spacing w:line="0" w:lineRule="atLeast"/>
              <w:jc w:val="center"/>
              <w:rPr>
                <w:sz w:val="18"/>
                <w:szCs w:val="18"/>
              </w:rPr>
            </w:pPr>
            <w:r>
              <w:rPr>
                <w:sz w:val="18"/>
                <w:szCs w:val="18"/>
              </w:rPr>
              <w:t>产业类型</w:t>
            </w:r>
          </w:p>
        </w:tc>
        <w:tc>
          <w:tcPr>
            <w:tcW w:w="1095" w:type="dxa"/>
            <w:vMerge w:val="restart"/>
            <w:vAlign w:val="center"/>
          </w:tcPr>
          <w:p>
            <w:pPr>
              <w:pStyle w:val="10"/>
              <w:spacing w:line="0" w:lineRule="atLeast"/>
              <w:jc w:val="center"/>
              <w:rPr>
                <w:sz w:val="18"/>
                <w:szCs w:val="18"/>
              </w:rPr>
            </w:pPr>
            <w:r>
              <w:rPr>
                <w:rFonts w:hint="eastAsia"/>
                <w:sz w:val="18"/>
                <w:szCs w:val="18"/>
              </w:rPr>
              <w:t>产业项目协议书签订部门</w:t>
            </w:r>
          </w:p>
        </w:tc>
        <w:tc>
          <w:tcPr>
            <w:tcW w:w="1095" w:type="dxa"/>
            <w:vMerge w:val="restart"/>
            <w:vAlign w:val="center"/>
          </w:tcPr>
          <w:p>
            <w:pPr>
              <w:pStyle w:val="10"/>
              <w:spacing w:line="0" w:lineRule="atLeast"/>
              <w:jc w:val="center"/>
              <w:rPr>
                <w:sz w:val="18"/>
                <w:szCs w:val="18"/>
              </w:rPr>
            </w:pPr>
            <w:r>
              <w:rPr>
                <w:rFonts w:hint="eastAsia"/>
                <w:sz w:val="18"/>
                <w:szCs w:val="18"/>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jc w:val="center"/>
        </w:trPr>
        <w:tc>
          <w:tcPr>
            <w:tcW w:w="717" w:type="dxa"/>
            <w:vMerge w:val="continue"/>
          </w:tcPr>
          <w:p>
            <w:pPr>
              <w:pStyle w:val="10"/>
              <w:spacing w:line="0" w:lineRule="atLeast"/>
              <w:jc w:val="center"/>
              <w:rPr>
                <w:sz w:val="18"/>
                <w:szCs w:val="18"/>
              </w:rPr>
            </w:pPr>
          </w:p>
        </w:tc>
        <w:tc>
          <w:tcPr>
            <w:tcW w:w="709" w:type="dxa"/>
            <w:vMerge w:val="continue"/>
          </w:tcPr>
          <w:p>
            <w:pPr>
              <w:pStyle w:val="10"/>
              <w:spacing w:line="0" w:lineRule="atLeast"/>
              <w:jc w:val="center"/>
              <w:rPr>
                <w:sz w:val="18"/>
                <w:szCs w:val="18"/>
              </w:rPr>
            </w:pPr>
          </w:p>
        </w:tc>
        <w:tc>
          <w:tcPr>
            <w:tcW w:w="661" w:type="dxa"/>
            <w:vMerge w:val="continue"/>
          </w:tcPr>
          <w:p>
            <w:pPr>
              <w:pStyle w:val="10"/>
              <w:spacing w:line="0" w:lineRule="atLeast"/>
              <w:jc w:val="center"/>
              <w:rPr>
                <w:sz w:val="18"/>
                <w:szCs w:val="18"/>
              </w:rPr>
            </w:pPr>
          </w:p>
        </w:tc>
        <w:tc>
          <w:tcPr>
            <w:tcW w:w="640" w:type="dxa"/>
            <w:vMerge w:val="continue"/>
          </w:tcPr>
          <w:p>
            <w:pPr>
              <w:pStyle w:val="10"/>
              <w:spacing w:line="0" w:lineRule="atLeast"/>
              <w:jc w:val="center"/>
              <w:rPr>
                <w:sz w:val="18"/>
                <w:szCs w:val="18"/>
              </w:rPr>
            </w:pPr>
          </w:p>
        </w:tc>
        <w:tc>
          <w:tcPr>
            <w:tcW w:w="487" w:type="dxa"/>
            <w:vMerge w:val="continue"/>
            <w:vAlign w:val="center"/>
          </w:tcPr>
          <w:p>
            <w:pPr>
              <w:pStyle w:val="10"/>
              <w:spacing w:line="0" w:lineRule="atLeast"/>
              <w:jc w:val="center"/>
              <w:rPr>
                <w:sz w:val="18"/>
                <w:szCs w:val="18"/>
              </w:rPr>
            </w:pPr>
          </w:p>
        </w:tc>
        <w:tc>
          <w:tcPr>
            <w:tcW w:w="695" w:type="dxa"/>
            <w:vAlign w:val="center"/>
          </w:tcPr>
          <w:p>
            <w:pPr>
              <w:pStyle w:val="10"/>
              <w:spacing w:line="0" w:lineRule="atLeast"/>
              <w:jc w:val="center"/>
              <w:rPr>
                <w:sz w:val="18"/>
                <w:szCs w:val="18"/>
              </w:rPr>
            </w:pPr>
            <w:r>
              <w:rPr>
                <w:sz w:val="18"/>
                <w:szCs w:val="18"/>
              </w:rPr>
              <w:t>计算指标用地面积（㎡）</w:t>
            </w:r>
          </w:p>
        </w:tc>
        <w:tc>
          <w:tcPr>
            <w:tcW w:w="755" w:type="dxa"/>
            <w:vAlign w:val="center"/>
          </w:tcPr>
          <w:p>
            <w:pPr>
              <w:pStyle w:val="10"/>
              <w:spacing w:line="0" w:lineRule="atLeast"/>
              <w:jc w:val="center"/>
              <w:rPr>
                <w:sz w:val="18"/>
                <w:szCs w:val="18"/>
              </w:rPr>
            </w:pPr>
            <w:r>
              <w:rPr>
                <w:sz w:val="18"/>
                <w:szCs w:val="18"/>
              </w:rPr>
              <w:t>容积率R</w:t>
            </w:r>
          </w:p>
        </w:tc>
        <w:tc>
          <w:tcPr>
            <w:tcW w:w="1000" w:type="dxa"/>
            <w:vAlign w:val="center"/>
          </w:tcPr>
          <w:p>
            <w:pPr>
              <w:pStyle w:val="10"/>
              <w:spacing w:line="0" w:lineRule="atLeast"/>
              <w:jc w:val="center"/>
              <w:rPr>
                <w:sz w:val="18"/>
                <w:szCs w:val="18"/>
              </w:rPr>
            </w:pPr>
            <w:r>
              <w:rPr>
                <w:sz w:val="18"/>
                <w:szCs w:val="18"/>
              </w:rPr>
              <w:t>计容建筑面积S（㎡）</w:t>
            </w:r>
          </w:p>
        </w:tc>
        <w:tc>
          <w:tcPr>
            <w:tcW w:w="559" w:type="dxa"/>
            <w:vAlign w:val="center"/>
          </w:tcPr>
          <w:p>
            <w:pPr>
              <w:pStyle w:val="10"/>
              <w:spacing w:line="0" w:lineRule="atLeast"/>
              <w:jc w:val="center"/>
              <w:rPr>
                <w:sz w:val="18"/>
                <w:szCs w:val="18"/>
              </w:rPr>
            </w:pPr>
            <w:r>
              <w:rPr>
                <w:sz w:val="18"/>
                <w:szCs w:val="18"/>
              </w:rPr>
              <w:t>建筑系数（%）</w:t>
            </w:r>
          </w:p>
        </w:tc>
        <w:tc>
          <w:tcPr>
            <w:tcW w:w="747" w:type="dxa"/>
            <w:vAlign w:val="center"/>
          </w:tcPr>
          <w:p>
            <w:pPr>
              <w:pStyle w:val="10"/>
              <w:spacing w:line="0" w:lineRule="atLeast"/>
              <w:jc w:val="center"/>
              <w:rPr>
                <w:sz w:val="18"/>
                <w:szCs w:val="18"/>
              </w:rPr>
            </w:pPr>
            <w:r>
              <w:rPr>
                <w:sz w:val="18"/>
                <w:szCs w:val="18"/>
              </w:rPr>
              <w:t>绿地率（%）</w:t>
            </w:r>
          </w:p>
        </w:tc>
        <w:tc>
          <w:tcPr>
            <w:tcW w:w="854" w:type="dxa"/>
            <w:vAlign w:val="center"/>
          </w:tcPr>
          <w:p>
            <w:pPr>
              <w:pStyle w:val="10"/>
              <w:spacing w:line="0" w:lineRule="atLeast"/>
              <w:jc w:val="center"/>
              <w:rPr>
                <w:sz w:val="18"/>
                <w:szCs w:val="18"/>
              </w:rPr>
            </w:pPr>
            <w:r>
              <w:rPr>
                <w:sz w:val="18"/>
                <w:szCs w:val="18"/>
              </w:rPr>
              <w:t>机动车停车位配建要求</w:t>
            </w:r>
          </w:p>
        </w:tc>
        <w:tc>
          <w:tcPr>
            <w:tcW w:w="714" w:type="dxa"/>
            <w:vMerge w:val="continue"/>
          </w:tcPr>
          <w:p>
            <w:pPr>
              <w:pStyle w:val="10"/>
              <w:spacing w:line="0" w:lineRule="atLeast"/>
              <w:jc w:val="center"/>
              <w:rPr>
                <w:sz w:val="18"/>
                <w:szCs w:val="18"/>
              </w:rPr>
            </w:pPr>
          </w:p>
        </w:tc>
        <w:tc>
          <w:tcPr>
            <w:tcW w:w="714" w:type="dxa"/>
            <w:vMerge w:val="continue"/>
          </w:tcPr>
          <w:p>
            <w:pPr>
              <w:pStyle w:val="10"/>
              <w:spacing w:line="0" w:lineRule="atLeast"/>
              <w:jc w:val="center"/>
              <w:rPr>
                <w:sz w:val="18"/>
                <w:szCs w:val="18"/>
              </w:rPr>
            </w:pPr>
          </w:p>
        </w:tc>
        <w:tc>
          <w:tcPr>
            <w:tcW w:w="743" w:type="dxa"/>
            <w:vMerge w:val="continue"/>
          </w:tcPr>
          <w:p>
            <w:pPr>
              <w:pStyle w:val="10"/>
              <w:spacing w:line="0" w:lineRule="atLeast"/>
              <w:jc w:val="center"/>
              <w:rPr>
                <w:sz w:val="18"/>
                <w:szCs w:val="18"/>
              </w:rPr>
            </w:pPr>
          </w:p>
        </w:tc>
        <w:tc>
          <w:tcPr>
            <w:tcW w:w="670" w:type="dxa"/>
            <w:vMerge w:val="continue"/>
          </w:tcPr>
          <w:p>
            <w:pPr>
              <w:pStyle w:val="10"/>
              <w:spacing w:line="0" w:lineRule="atLeast"/>
              <w:jc w:val="center"/>
              <w:rPr>
                <w:sz w:val="18"/>
                <w:szCs w:val="18"/>
              </w:rPr>
            </w:pPr>
          </w:p>
        </w:tc>
        <w:tc>
          <w:tcPr>
            <w:tcW w:w="772" w:type="dxa"/>
            <w:vMerge w:val="continue"/>
          </w:tcPr>
          <w:p>
            <w:pPr>
              <w:pStyle w:val="10"/>
              <w:spacing w:line="0" w:lineRule="atLeast"/>
              <w:jc w:val="center"/>
              <w:rPr>
                <w:sz w:val="18"/>
                <w:szCs w:val="18"/>
              </w:rPr>
            </w:pPr>
          </w:p>
        </w:tc>
        <w:tc>
          <w:tcPr>
            <w:tcW w:w="773" w:type="dxa"/>
            <w:vMerge w:val="continue"/>
          </w:tcPr>
          <w:p>
            <w:pPr>
              <w:pStyle w:val="10"/>
              <w:spacing w:line="0" w:lineRule="atLeast"/>
              <w:jc w:val="center"/>
              <w:rPr>
                <w:sz w:val="18"/>
                <w:szCs w:val="18"/>
              </w:rPr>
            </w:pPr>
          </w:p>
        </w:tc>
        <w:tc>
          <w:tcPr>
            <w:tcW w:w="1230" w:type="dxa"/>
            <w:vMerge w:val="continue"/>
          </w:tcPr>
          <w:p>
            <w:pPr>
              <w:pStyle w:val="10"/>
              <w:spacing w:line="0" w:lineRule="atLeast"/>
              <w:jc w:val="center"/>
              <w:rPr>
                <w:sz w:val="18"/>
                <w:szCs w:val="18"/>
              </w:rPr>
            </w:pPr>
          </w:p>
        </w:tc>
        <w:tc>
          <w:tcPr>
            <w:tcW w:w="1095" w:type="dxa"/>
            <w:vMerge w:val="continue"/>
          </w:tcPr>
          <w:p>
            <w:pPr>
              <w:pStyle w:val="10"/>
              <w:spacing w:line="0" w:lineRule="atLeast"/>
              <w:jc w:val="center"/>
              <w:rPr>
                <w:sz w:val="18"/>
                <w:szCs w:val="18"/>
              </w:rPr>
            </w:pPr>
          </w:p>
        </w:tc>
        <w:tc>
          <w:tcPr>
            <w:tcW w:w="1095" w:type="dxa"/>
            <w:vMerge w:val="continue"/>
          </w:tcPr>
          <w:p>
            <w:pPr>
              <w:pStyle w:val="10"/>
              <w:spacing w:line="0" w:lineRule="atLeas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6" w:hRule="atLeast"/>
          <w:jc w:val="center"/>
        </w:trPr>
        <w:tc>
          <w:tcPr>
            <w:tcW w:w="717" w:type="dxa"/>
            <w:vAlign w:val="center"/>
          </w:tcPr>
          <w:p>
            <w:pPr>
              <w:pStyle w:val="10"/>
              <w:spacing w:line="0" w:lineRule="atLeast"/>
              <w:jc w:val="center"/>
              <w:rPr>
                <w:sz w:val="18"/>
                <w:szCs w:val="18"/>
              </w:rPr>
            </w:pPr>
            <w:r>
              <w:rPr>
                <w:sz w:val="18"/>
                <w:szCs w:val="18"/>
              </w:rPr>
              <w:t>惠仲土（用地）挂[202</w:t>
            </w:r>
            <w:r>
              <w:rPr>
                <w:rFonts w:hint="eastAsia"/>
                <w:sz w:val="18"/>
                <w:szCs w:val="18"/>
              </w:rPr>
              <w:t>3</w:t>
            </w:r>
            <w:r>
              <w:rPr>
                <w:sz w:val="18"/>
                <w:szCs w:val="18"/>
              </w:rPr>
              <w:t>]0</w:t>
            </w:r>
            <w:r>
              <w:rPr>
                <w:rFonts w:hint="eastAsia"/>
                <w:sz w:val="18"/>
                <w:szCs w:val="18"/>
              </w:rPr>
              <w:t>06</w:t>
            </w:r>
            <w:r>
              <w:rPr>
                <w:sz w:val="18"/>
                <w:szCs w:val="18"/>
              </w:rPr>
              <w:t>号</w:t>
            </w:r>
          </w:p>
        </w:tc>
        <w:tc>
          <w:tcPr>
            <w:tcW w:w="709" w:type="dxa"/>
            <w:vAlign w:val="center"/>
          </w:tcPr>
          <w:p>
            <w:pPr>
              <w:pStyle w:val="10"/>
              <w:spacing w:line="0" w:lineRule="atLeast"/>
              <w:jc w:val="center"/>
              <w:rPr>
                <w:kern w:val="0"/>
                <w:sz w:val="18"/>
                <w:szCs w:val="18"/>
              </w:rPr>
            </w:pPr>
            <w:r>
              <w:rPr>
                <w:sz w:val="18"/>
                <w:szCs w:val="18"/>
              </w:rPr>
              <w:t>惠州潼湖生态智慧区国际合作产业园中区</w:t>
            </w:r>
          </w:p>
        </w:tc>
        <w:tc>
          <w:tcPr>
            <w:tcW w:w="661" w:type="dxa"/>
            <w:vAlign w:val="center"/>
          </w:tcPr>
          <w:p>
            <w:pPr>
              <w:pStyle w:val="10"/>
              <w:spacing w:line="0" w:lineRule="atLeast"/>
              <w:jc w:val="center"/>
              <w:rPr>
                <w:kern w:val="0"/>
                <w:sz w:val="18"/>
                <w:szCs w:val="18"/>
              </w:rPr>
            </w:pPr>
            <w:r>
              <w:rPr>
                <w:sz w:val="18"/>
                <w:szCs w:val="18"/>
              </w:rPr>
              <w:t>ZKD-003-04</w:t>
            </w:r>
          </w:p>
        </w:tc>
        <w:tc>
          <w:tcPr>
            <w:tcW w:w="640" w:type="dxa"/>
            <w:vAlign w:val="center"/>
          </w:tcPr>
          <w:p>
            <w:pPr>
              <w:pStyle w:val="10"/>
              <w:spacing w:line="0" w:lineRule="atLeast"/>
              <w:jc w:val="center"/>
              <w:rPr>
                <w:kern w:val="0"/>
                <w:sz w:val="18"/>
                <w:szCs w:val="18"/>
              </w:rPr>
            </w:pPr>
            <w:r>
              <w:rPr>
                <w:rFonts w:hint="eastAsia"/>
                <w:sz w:val="18"/>
                <w:szCs w:val="18"/>
              </w:rPr>
              <w:t>26406</w:t>
            </w:r>
            <w:r>
              <w:rPr>
                <w:sz w:val="18"/>
                <w:szCs w:val="18"/>
              </w:rPr>
              <w:t>（其中使用权面积为</w:t>
            </w:r>
            <w:r>
              <w:rPr>
                <w:rFonts w:hint="eastAsia"/>
                <w:sz w:val="18"/>
                <w:szCs w:val="18"/>
              </w:rPr>
              <w:t>20905</w:t>
            </w:r>
            <w:r>
              <w:rPr>
                <w:sz w:val="18"/>
                <w:szCs w:val="18"/>
              </w:rPr>
              <w:t>㎡）</w:t>
            </w:r>
          </w:p>
        </w:tc>
        <w:tc>
          <w:tcPr>
            <w:tcW w:w="487" w:type="dxa"/>
            <w:vAlign w:val="center"/>
          </w:tcPr>
          <w:p>
            <w:pPr>
              <w:pStyle w:val="10"/>
              <w:spacing w:line="0" w:lineRule="atLeast"/>
              <w:jc w:val="center"/>
              <w:rPr>
                <w:kern w:val="0"/>
                <w:sz w:val="18"/>
                <w:szCs w:val="18"/>
              </w:rPr>
            </w:pPr>
            <w:r>
              <w:rPr>
                <w:sz w:val="18"/>
                <w:szCs w:val="18"/>
              </w:rPr>
              <w:t>工业用地</w:t>
            </w:r>
          </w:p>
        </w:tc>
        <w:tc>
          <w:tcPr>
            <w:tcW w:w="695" w:type="dxa"/>
            <w:vAlign w:val="center"/>
          </w:tcPr>
          <w:p>
            <w:pPr>
              <w:pStyle w:val="10"/>
              <w:spacing w:line="0" w:lineRule="atLeast"/>
              <w:jc w:val="center"/>
              <w:rPr>
                <w:kern w:val="0"/>
                <w:sz w:val="18"/>
                <w:szCs w:val="18"/>
              </w:rPr>
            </w:pPr>
            <w:r>
              <w:rPr>
                <w:rFonts w:hint="eastAsia"/>
                <w:sz w:val="18"/>
                <w:szCs w:val="18"/>
              </w:rPr>
              <w:t>26406</w:t>
            </w:r>
          </w:p>
        </w:tc>
        <w:tc>
          <w:tcPr>
            <w:tcW w:w="755" w:type="dxa"/>
            <w:vAlign w:val="center"/>
          </w:tcPr>
          <w:p>
            <w:pPr>
              <w:pStyle w:val="10"/>
              <w:spacing w:line="0" w:lineRule="atLeast"/>
              <w:jc w:val="center"/>
              <w:rPr>
                <w:kern w:val="0"/>
                <w:sz w:val="18"/>
                <w:szCs w:val="18"/>
              </w:rPr>
            </w:pPr>
            <w:r>
              <w:rPr>
                <w:rFonts w:hint="eastAsia"/>
                <w:sz w:val="18"/>
                <w:szCs w:val="18"/>
              </w:rPr>
              <w:t>2.0</w:t>
            </w:r>
            <w:r>
              <w:rPr>
                <w:sz w:val="18"/>
                <w:szCs w:val="18"/>
              </w:rPr>
              <w:t>≤R≤2.5</w:t>
            </w:r>
          </w:p>
        </w:tc>
        <w:tc>
          <w:tcPr>
            <w:tcW w:w="1000" w:type="dxa"/>
            <w:vAlign w:val="center"/>
          </w:tcPr>
          <w:p>
            <w:pPr>
              <w:pStyle w:val="10"/>
              <w:spacing w:line="0" w:lineRule="atLeast"/>
              <w:jc w:val="center"/>
              <w:rPr>
                <w:kern w:val="0"/>
                <w:sz w:val="18"/>
                <w:szCs w:val="18"/>
              </w:rPr>
            </w:pPr>
            <w:r>
              <w:rPr>
                <w:rFonts w:hint="eastAsia"/>
                <w:sz w:val="18"/>
                <w:szCs w:val="18"/>
              </w:rPr>
              <w:t>52812</w:t>
            </w:r>
            <w:r>
              <w:rPr>
                <w:sz w:val="18"/>
                <w:szCs w:val="18"/>
              </w:rPr>
              <w:t>≤S≤</w:t>
            </w:r>
            <w:r>
              <w:rPr>
                <w:rFonts w:hint="eastAsia"/>
                <w:sz w:val="18"/>
                <w:szCs w:val="18"/>
              </w:rPr>
              <w:t>66015</w:t>
            </w:r>
          </w:p>
        </w:tc>
        <w:tc>
          <w:tcPr>
            <w:tcW w:w="559" w:type="dxa"/>
            <w:vAlign w:val="center"/>
          </w:tcPr>
          <w:p>
            <w:pPr>
              <w:pStyle w:val="10"/>
              <w:spacing w:line="0" w:lineRule="atLeast"/>
              <w:jc w:val="center"/>
              <w:rPr>
                <w:kern w:val="0"/>
                <w:sz w:val="18"/>
                <w:szCs w:val="18"/>
              </w:rPr>
            </w:pPr>
            <w:r>
              <w:rPr>
                <w:sz w:val="18"/>
                <w:szCs w:val="18"/>
              </w:rPr>
              <w:t>≥30</w:t>
            </w:r>
          </w:p>
        </w:tc>
        <w:tc>
          <w:tcPr>
            <w:tcW w:w="747" w:type="dxa"/>
            <w:vAlign w:val="center"/>
          </w:tcPr>
          <w:p>
            <w:pPr>
              <w:pStyle w:val="10"/>
              <w:spacing w:line="0" w:lineRule="atLeast"/>
              <w:jc w:val="center"/>
              <w:rPr>
                <w:kern w:val="0"/>
                <w:sz w:val="18"/>
                <w:szCs w:val="18"/>
              </w:rPr>
            </w:pPr>
            <w:r>
              <w:rPr>
                <w:sz w:val="18"/>
                <w:szCs w:val="18"/>
              </w:rPr>
              <w:t>15≤绿地率≤20</w:t>
            </w:r>
          </w:p>
        </w:tc>
        <w:tc>
          <w:tcPr>
            <w:tcW w:w="854" w:type="dxa"/>
            <w:vAlign w:val="center"/>
          </w:tcPr>
          <w:p>
            <w:pPr>
              <w:pStyle w:val="10"/>
              <w:spacing w:line="0" w:lineRule="atLeast"/>
              <w:jc w:val="center"/>
              <w:rPr>
                <w:kern w:val="0"/>
                <w:sz w:val="18"/>
                <w:szCs w:val="18"/>
              </w:rPr>
            </w:pPr>
            <w:r>
              <w:rPr>
                <w:rFonts w:hint="eastAsia"/>
                <w:kern w:val="0"/>
                <w:sz w:val="18"/>
                <w:szCs w:val="18"/>
              </w:rPr>
              <w:t>按《规划设计条件告知书》要求配建</w:t>
            </w:r>
          </w:p>
        </w:tc>
        <w:tc>
          <w:tcPr>
            <w:tcW w:w="714" w:type="dxa"/>
            <w:vAlign w:val="center"/>
          </w:tcPr>
          <w:p>
            <w:pPr>
              <w:pStyle w:val="10"/>
              <w:spacing w:line="0" w:lineRule="atLeast"/>
              <w:jc w:val="center"/>
              <w:rPr>
                <w:kern w:val="0"/>
                <w:sz w:val="18"/>
                <w:szCs w:val="18"/>
              </w:rPr>
            </w:pPr>
            <w:r>
              <w:rPr>
                <w:rFonts w:hint="eastAsia"/>
                <w:sz w:val="18"/>
                <w:szCs w:val="18"/>
              </w:rPr>
              <w:t>50</w:t>
            </w:r>
          </w:p>
        </w:tc>
        <w:tc>
          <w:tcPr>
            <w:tcW w:w="714" w:type="dxa"/>
            <w:vAlign w:val="center"/>
          </w:tcPr>
          <w:p>
            <w:pPr>
              <w:pStyle w:val="10"/>
              <w:spacing w:line="0" w:lineRule="atLeast"/>
              <w:jc w:val="center"/>
              <w:rPr>
                <w:kern w:val="0"/>
                <w:sz w:val="18"/>
                <w:szCs w:val="18"/>
              </w:rPr>
            </w:pPr>
            <w:r>
              <w:rPr>
                <w:rFonts w:hint="eastAsia"/>
                <w:sz w:val="18"/>
                <w:szCs w:val="18"/>
              </w:rPr>
              <w:t>2731</w:t>
            </w:r>
          </w:p>
        </w:tc>
        <w:tc>
          <w:tcPr>
            <w:tcW w:w="743" w:type="dxa"/>
            <w:vAlign w:val="center"/>
          </w:tcPr>
          <w:p>
            <w:pPr>
              <w:pStyle w:val="10"/>
              <w:spacing w:line="0" w:lineRule="atLeast"/>
              <w:jc w:val="center"/>
              <w:rPr>
                <w:kern w:val="0"/>
                <w:sz w:val="18"/>
                <w:szCs w:val="18"/>
              </w:rPr>
            </w:pPr>
            <w:r>
              <w:rPr>
                <w:sz w:val="18"/>
                <w:szCs w:val="18"/>
              </w:rPr>
              <w:t>20</w:t>
            </w:r>
          </w:p>
        </w:tc>
        <w:tc>
          <w:tcPr>
            <w:tcW w:w="670" w:type="dxa"/>
            <w:vAlign w:val="center"/>
          </w:tcPr>
          <w:p>
            <w:pPr>
              <w:pStyle w:val="10"/>
              <w:spacing w:line="0" w:lineRule="atLeast"/>
              <w:jc w:val="center"/>
              <w:rPr>
                <w:kern w:val="0"/>
                <w:sz w:val="18"/>
                <w:szCs w:val="18"/>
              </w:rPr>
            </w:pPr>
            <w:r>
              <w:rPr>
                <w:rFonts w:hint="eastAsia"/>
                <w:sz w:val="18"/>
                <w:szCs w:val="18"/>
              </w:rPr>
              <w:t>547</w:t>
            </w:r>
          </w:p>
        </w:tc>
        <w:tc>
          <w:tcPr>
            <w:tcW w:w="772" w:type="dxa"/>
            <w:vAlign w:val="center"/>
          </w:tcPr>
          <w:p>
            <w:pPr>
              <w:pStyle w:val="10"/>
              <w:spacing w:line="0" w:lineRule="atLeast"/>
              <w:jc w:val="center"/>
              <w:rPr>
                <w:sz w:val="18"/>
                <w:szCs w:val="18"/>
              </w:rPr>
            </w:pPr>
            <w:r>
              <w:rPr>
                <w:sz w:val="18"/>
                <w:szCs w:val="18"/>
              </w:rPr>
              <w:t>2023</w:t>
            </w:r>
            <w:r>
              <w:rPr>
                <w:rFonts w:hint="eastAsia"/>
                <w:sz w:val="18"/>
                <w:szCs w:val="18"/>
              </w:rPr>
              <w:t>年</w:t>
            </w:r>
            <w:r>
              <w:rPr>
                <w:sz w:val="18"/>
                <w:szCs w:val="18"/>
              </w:rPr>
              <w:t>2</w:t>
            </w:r>
            <w:r>
              <w:rPr>
                <w:rFonts w:hint="eastAsia"/>
                <w:sz w:val="18"/>
                <w:szCs w:val="18"/>
              </w:rPr>
              <w:t>月</w:t>
            </w:r>
            <w:r>
              <w:rPr>
                <w:sz w:val="18"/>
                <w:szCs w:val="18"/>
              </w:rPr>
              <w:t>22</w:t>
            </w:r>
            <w:r>
              <w:rPr>
                <w:rFonts w:hint="eastAsia"/>
                <w:sz w:val="18"/>
                <w:szCs w:val="18"/>
              </w:rPr>
              <w:t>日</w:t>
            </w:r>
            <w:r>
              <w:rPr>
                <w:sz w:val="18"/>
                <w:szCs w:val="18"/>
              </w:rPr>
              <w:t>9</w:t>
            </w:r>
            <w:r>
              <w:rPr>
                <w:rFonts w:hint="eastAsia"/>
                <w:sz w:val="18"/>
                <w:szCs w:val="18"/>
              </w:rPr>
              <w:t>时</w:t>
            </w:r>
          </w:p>
        </w:tc>
        <w:tc>
          <w:tcPr>
            <w:tcW w:w="773" w:type="dxa"/>
            <w:vAlign w:val="center"/>
          </w:tcPr>
          <w:p>
            <w:pPr>
              <w:pStyle w:val="10"/>
              <w:spacing w:line="0" w:lineRule="atLeast"/>
              <w:jc w:val="center"/>
              <w:rPr>
                <w:kern w:val="0"/>
                <w:sz w:val="18"/>
                <w:szCs w:val="18"/>
              </w:rPr>
            </w:pPr>
            <w:r>
              <w:rPr>
                <w:sz w:val="18"/>
                <w:szCs w:val="18"/>
              </w:rPr>
              <w:t>≥</w:t>
            </w:r>
            <w:r>
              <w:rPr>
                <w:rFonts w:hint="eastAsia"/>
                <w:sz w:val="18"/>
                <w:szCs w:val="18"/>
              </w:rPr>
              <w:t>11667</w:t>
            </w:r>
            <w:r>
              <w:rPr>
                <w:sz w:val="18"/>
                <w:szCs w:val="18"/>
              </w:rPr>
              <w:t>元/㎡</w:t>
            </w:r>
          </w:p>
        </w:tc>
        <w:tc>
          <w:tcPr>
            <w:tcW w:w="1230" w:type="dxa"/>
            <w:vAlign w:val="center"/>
          </w:tcPr>
          <w:p>
            <w:pPr>
              <w:pStyle w:val="10"/>
              <w:spacing w:line="0" w:lineRule="atLeast"/>
              <w:jc w:val="center"/>
              <w:rPr>
                <w:kern w:val="0"/>
                <w:sz w:val="18"/>
                <w:szCs w:val="18"/>
              </w:rPr>
            </w:pPr>
            <w:r>
              <w:rPr>
                <w:sz w:val="18"/>
                <w:szCs w:val="18"/>
              </w:rPr>
              <w:t>智能移动终端产品及关键零部件的技术开发和制造</w:t>
            </w:r>
          </w:p>
        </w:tc>
        <w:tc>
          <w:tcPr>
            <w:tcW w:w="1095" w:type="dxa"/>
            <w:vAlign w:val="center"/>
          </w:tcPr>
          <w:p>
            <w:pPr>
              <w:pStyle w:val="10"/>
              <w:spacing w:line="0" w:lineRule="atLeast"/>
              <w:jc w:val="center"/>
              <w:rPr>
                <w:sz w:val="18"/>
                <w:szCs w:val="18"/>
              </w:rPr>
            </w:pPr>
            <w:r>
              <w:rPr>
                <w:sz w:val="18"/>
                <w:szCs w:val="18"/>
              </w:rPr>
              <w:t>惠州潼湖生态智慧区管理委员会</w:t>
            </w:r>
          </w:p>
        </w:tc>
        <w:tc>
          <w:tcPr>
            <w:tcW w:w="1095" w:type="dxa"/>
            <w:vAlign w:val="center"/>
          </w:tcPr>
          <w:p>
            <w:pPr>
              <w:pStyle w:val="10"/>
              <w:spacing w:line="0" w:lineRule="atLeast"/>
              <w:jc w:val="center"/>
              <w:rPr>
                <w:sz w:val="18"/>
                <w:szCs w:val="18"/>
              </w:rPr>
            </w:pPr>
            <w:r>
              <w:rPr>
                <w:kern w:val="0"/>
                <w:sz w:val="18"/>
                <w:szCs w:val="18"/>
              </w:rPr>
              <w:t>行政办公及生活服务配套设施用地面积不得超过总用地面积的</w:t>
            </w:r>
            <w:r>
              <w:rPr>
                <w:rFonts w:hint="eastAsia"/>
                <w:kern w:val="0"/>
                <w:sz w:val="18"/>
                <w:szCs w:val="18"/>
              </w:rPr>
              <w:t>7</w:t>
            </w:r>
            <w:r>
              <w:rPr>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6" w:hRule="atLeast"/>
          <w:jc w:val="center"/>
        </w:trPr>
        <w:tc>
          <w:tcPr>
            <w:tcW w:w="717" w:type="dxa"/>
            <w:vAlign w:val="center"/>
          </w:tcPr>
          <w:p>
            <w:pPr>
              <w:pStyle w:val="10"/>
              <w:spacing w:line="0" w:lineRule="atLeast"/>
              <w:jc w:val="center"/>
              <w:rPr>
                <w:sz w:val="18"/>
                <w:szCs w:val="18"/>
              </w:rPr>
            </w:pPr>
            <w:r>
              <w:rPr>
                <w:sz w:val="18"/>
                <w:szCs w:val="18"/>
              </w:rPr>
              <w:t>惠仲土（用地）挂[202</w:t>
            </w:r>
            <w:r>
              <w:rPr>
                <w:rFonts w:hint="eastAsia"/>
                <w:sz w:val="18"/>
                <w:szCs w:val="18"/>
              </w:rPr>
              <w:t>3</w:t>
            </w:r>
            <w:r>
              <w:rPr>
                <w:sz w:val="18"/>
                <w:szCs w:val="18"/>
              </w:rPr>
              <w:t>]</w:t>
            </w:r>
            <w:r>
              <w:rPr>
                <w:rFonts w:hint="eastAsia"/>
                <w:sz w:val="18"/>
                <w:szCs w:val="18"/>
              </w:rPr>
              <w:t>007</w:t>
            </w:r>
            <w:r>
              <w:rPr>
                <w:sz w:val="18"/>
                <w:szCs w:val="18"/>
              </w:rPr>
              <w:t>号</w:t>
            </w:r>
          </w:p>
        </w:tc>
        <w:tc>
          <w:tcPr>
            <w:tcW w:w="709" w:type="dxa"/>
            <w:vAlign w:val="center"/>
          </w:tcPr>
          <w:p>
            <w:pPr>
              <w:pStyle w:val="10"/>
              <w:spacing w:line="0" w:lineRule="atLeast"/>
              <w:jc w:val="center"/>
              <w:rPr>
                <w:sz w:val="18"/>
                <w:szCs w:val="18"/>
              </w:rPr>
            </w:pPr>
            <w:r>
              <w:rPr>
                <w:rFonts w:hint="eastAsia"/>
                <w:sz w:val="18"/>
                <w:szCs w:val="18"/>
              </w:rPr>
              <w:t>惠州潼湖生态智慧区国际合作产业园中区</w:t>
            </w:r>
          </w:p>
        </w:tc>
        <w:tc>
          <w:tcPr>
            <w:tcW w:w="661" w:type="dxa"/>
            <w:vAlign w:val="center"/>
          </w:tcPr>
          <w:p>
            <w:pPr>
              <w:pStyle w:val="10"/>
              <w:spacing w:line="0" w:lineRule="atLeast"/>
              <w:jc w:val="center"/>
              <w:rPr>
                <w:sz w:val="18"/>
                <w:szCs w:val="18"/>
              </w:rPr>
            </w:pPr>
            <w:r>
              <w:rPr>
                <w:rFonts w:hint="eastAsia"/>
                <w:sz w:val="18"/>
                <w:szCs w:val="18"/>
              </w:rPr>
              <w:t>ZKD-003-01</w:t>
            </w:r>
          </w:p>
        </w:tc>
        <w:tc>
          <w:tcPr>
            <w:tcW w:w="640" w:type="dxa"/>
            <w:vAlign w:val="center"/>
          </w:tcPr>
          <w:p>
            <w:pPr>
              <w:pStyle w:val="10"/>
              <w:spacing w:line="0" w:lineRule="atLeast"/>
              <w:jc w:val="center"/>
              <w:rPr>
                <w:sz w:val="18"/>
                <w:szCs w:val="18"/>
              </w:rPr>
            </w:pPr>
            <w:r>
              <w:rPr>
                <w:rFonts w:hint="eastAsia"/>
                <w:sz w:val="18"/>
                <w:szCs w:val="18"/>
              </w:rPr>
              <w:t>42009</w:t>
            </w:r>
            <w:r>
              <w:rPr>
                <w:sz w:val="18"/>
                <w:szCs w:val="18"/>
              </w:rPr>
              <w:t>（其中使用权面积为</w:t>
            </w:r>
            <w:r>
              <w:rPr>
                <w:rFonts w:hint="eastAsia"/>
                <w:sz w:val="18"/>
                <w:szCs w:val="18"/>
              </w:rPr>
              <w:t>33544</w:t>
            </w:r>
            <w:r>
              <w:rPr>
                <w:sz w:val="18"/>
                <w:szCs w:val="18"/>
              </w:rPr>
              <w:t>㎡）</w:t>
            </w:r>
          </w:p>
        </w:tc>
        <w:tc>
          <w:tcPr>
            <w:tcW w:w="487" w:type="dxa"/>
            <w:vAlign w:val="center"/>
          </w:tcPr>
          <w:p>
            <w:pPr>
              <w:pStyle w:val="10"/>
              <w:spacing w:line="0" w:lineRule="atLeast"/>
              <w:jc w:val="center"/>
              <w:rPr>
                <w:sz w:val="18"/>
                <w:szCs w:val="18"/>
              </w:rPr>
            </w:pPr>
            <w:r>
              <w:rPr>
                <w:sz w:val="18"/>
                <w:szCs w:val="18"/>
              </w:rPr>
              <w:t>工业用地</w:t>
            </w:r>
          </w:p>
        </w:tc>
        <w:tc>
          <w:tcPr>
            <w:tcW w:w="695" w:type="dxa"/>
            <w:vAlign w:val="center"/>
          </w:tcPr>
          <w:p>
            <w:pPr>
              <w:pStyle w:val="10"/>
              <w:spacing w:line="0" w:lineRule="atLeast"/>
              <w:jc w:val="center"/>
              <w:rPr>
                <w:sz w:val="18"/>
                <w:szCs w:val="18"/>
              </w:rPr>
            </w:pPr>
            <w:r>
              <w:rPr>
                <w:rFonts w:hint="eastAsia"/>
                <w:sz w:val="18"/>
                <w:szCs w:val="18"/>
              </w:rPr>
              <w:t>42009</w:t>
            </w:r>
          </w:p>
        </w:tc>
        <w:tc>
          <w:tcPr>
            <w:tcW w:w="755" w:type="dxa"/>
            <w:vAlign w:val="center"/>
          </w:tcPr>
          <w:p>
            <w:pPr>
              <w:pStyle w:val="10"/>
              <w:spacing w:line="0" w:lineRule="atLeast"/>
              <w:jc w:val="center"/>
              <w:rPr>
                <w:sz w:val="18"/>
                <w:szCs w:val="18"/>
              </w:rPr>
            </w:pPr>
            <w:r>
              <w:rPr>
                <w:rFonts w:hint="eastAsia"/>
                <w:sz w:val="18"/>
                <w:szCs w:val="18"/>
              </w:rPr>
              <w:t>2.0</w:t>
            </w:r>
            <w:r>
              <w:rPr>
                <w:sz w:val="18"/>
                <w:szCs w:val="18"/>
              </w:rPr>
              <w:t>≤R≤2.5</w:t>
            </w:r>
          </w:p>
        </w:tc>
        <w:tc>
          <w:tcPr>
            <w:tcW w:w="1000" w:type="dxa"/>
            <w:vAlign w:val="center"/>
          </w:tcPr>
          <w:p>
            <w:pPr>
              <w:pStyle w:val="10"/>
              <w:spacing w:line="0" w:lineRule="atLeast"/>
              <w:jc w:val="center"/>
              <w:rPr>
                <w:sz w:val="18"/>
                <w:szCs w:val="18"/>
              </w:rPr>
            </w:pPr>
            <w:r>
              <w:rPr>
                <w:rFonts w:hint="eastAsia"/>
                <w:sz w:val="18"/>
                <w:szCs w:val="18"/>
              </w:rPr>
              <w:t>84018</w:t>
            </w:r>
            <w:r>
              <w:rPr>
                <w:sz w:val="18"/>
                <w:szCs w:val="18"/>
              </w:rPr>
              <w:t>≤S≤</w:t>
            </w:r>
            <w:r>
              <w:rPr>
                <w:rFonts w:hint="eastAsia"/>
                <w:sz w:val="18"/>
                <w:szCs w:val="18"/>
              </w:rPr>
              <w:t>105023</w:t>
            </w:r>
          </w:p>
        </w:tc>
        <w:tc>
          <w:tcPr>
            <w:tcW w:w="559" w:type="dxa"/>
            <w:vAlign w:val="center"/>
          </w:tcPr>
          <w:p>
            <w:pPr>
              <w:pStyle w:val="10"/>
              <w:spacing w:line="0" w:lineRule="atLeast"/>
              <w:jc w:val="center"/>
              <w:rPr>
                <w:sz w:val="18"/>
                <w:szCs w:val="18"/>
              </w:rPr>
            </w:pPr>
            <w:r>
              <w:rPr>
                <w:sz w:val="18"/>
                <w:szCs w:val="18"/>
              </w:rPr>
              <w:t>≥30</w:t>
            </w:r>
          </w:p>
        </w:tc>
        <w:tc>
          <w:tcPr>
            <w:tcW w:w="747" w:type="dxa"/>
            <w:vAlign w:val="center"/>
          </w:tcPr>
          <w:p>
            <w:pPr>
              <w:pStyle w:val="10"/>
              <w:spacing w:line="0" w:lineRule="atLeast"/>
              <w:jc w:val="center"/>
              <w:rPr>
                <w:sz w:val="18"/>
                <w:szCs w:val="18"/>
              </w:rPr>
            </w:pPr>
            <w:r>
              <w:rPr>
                <w:sz w:val="18"/>
                <w:szCs w:val="18"/>
              </w:rPr>
              <w:t>15≤绿地率≤20</w:t>
            </w:r>
          </w:p>
        </w:tc>
        <w:tc>
          <w:tcPr>
            <w:tcW w:w="854" w:type="dxa"/>
            <w:vAlign w:val="center"/>
          </w:tcPr>
          <w:p>
            <w:pPr>
              <w:pStyle w:val="10"/>
              <w:spacing w:line="0" w:lineRule="atLeast"/>
              <w:jc w:val="center"/>
              <w:rPr>
                <w:sz w:val="18"/>
                <w:szCs w:val="18"/>
              </w:rPr>
            </w:pPr>
            <w:r>
              <w:rPr>
                <w:rFonts w:hint="eastAsia"/>
                <w:kern w:val="0"/>
                <w:sz w:val="18"/>
                <w:szCs w:val="18"/>
              </w:rPr>
              <w:t>按《规划设计条件告知书》要求配建</w:t>
            </w:r>
          </w:p>
        </w:tc>
        <w:tc>
          <w:tcPr>
            <w:tcW w:w="714" w:type="dxa"/>
            <w:vAlign w:val="center"/>
          </w:tcPr>
          <w:p>
            <w:pPr>
              <w:pStyle w:val="10"/>
              <w:spacing w:line="0" w:lineRule="atLeast"/>
              <w:jc w:val="center"/>
              <w:rPr>
                <w:sz w:val="18"/>
                <w:szCs w:val="18"/>
              </w:rPr>
            </w:pPr>
            <w:r>
              <w:rPr>
                <w:rFonts w:hint="eastAsia"/>
                <w:sz w:val="18"/>
                <w:szCs w:val="18"/>
              </w:rPr>
              <w:t>50</w:t>
            </w:r>
          </w:p>
        </w:tc>
        <w:tc>
          <w:tcPr>
            <w:tcW w:w="714" w:type="dxa"/>
            <w:vAlign w:val="center"/>
          </w:tcPr>
          <w:p>
            <w:pPr>
              <w:pStyle w:val="10"/>
              <w:spacing w:line="0" w:lineRule="atLeast"/>
              <w:jc w:val="center"/>
              <w:rPr>
                <w:sz w:val="18"/>
                <w:szCs w:val="18"/>
              </w:rPr>
            </w:pPr>
            <w:r>
              <w:rPr>
                <w:rFonts w:hint="eastAsia"/>
                <w:sz w:val="18"/>
                <w:szCs w:val="18"/>
              </w:rPr>
              <w:t>4373</w:t>
            </w:r>
          </w:p>
        </w:tc>
        <w:tc>
          <w:tcPr>
            <w:tcW w:w="743" w:type="dxa"/>
            <w:vAlign w:val="center"/>
          </w:tcPr>
          <w:p>
            <w:pPr>
              <w:pStyle w:val="10"/>
              <w:spacing w:line="0" w:lineRule="atLeast"/>
              <w:jc w:val="center"/>
              <w:rPr>
                <w:sz w:val="18"/>
                <w:szCs w:val="18"/>
              </w:rPr>
            </w:pPr>
            <w:r>
              <w:rPr>
                <w:rFonts w:hint="eastAsia"/>
                <w:sz w:val="18"/>
                <w:szCs w:val="18"/>
              </w:rPr>
              <w:t>50</w:t>
            </w:r>
          </w:p>
        </w:tc>
        <w:tc>
          <w:tcPr>
            <w:tcW w:w="670" w:type="dxa"/>
            <w:vAlign w:val="center"/>
          </w:tcPr>
          <w:p>
            <w:pPr>
              <w:pStyle w:val="10"/>
              <w:spacing w:line="0" w:lineRule="atLeast"/>
              <w:jc w:val="center"/>
              <w:rPr>
                <w:sz w:val="18"/>
                <w:szCs w:val="18"/>
              </w:rPr>
            </w:pPr>
            <w:r>
              <w:rPr>
                <w:rFonts w:hint="eastAsia"/>
                <w:sz w:val="18"/>
                <w:szCs w:val="18"/>
              </w:rPr>
              <w:t>875</w:t>
            </w:r>
          </w:p>
        </w:tc>
        <w:tc>
          <w:tcPr>
            <w:tcW w:w="772" w:type="dxa"/>
            <w:vAlign w:val="center"/>
          </w:tcPr>
          <w:p>
            <w:pPr>
              <w:pStyle w:val="10"/>
              <w:spacing w:line="0" w:lineRule="atLeast"/>
              <w:jc w:val="center"/>
              <w:rPr>
                <w:sz w:val="18"/>
                <w:szCs w:val="18"/>
              </w:rPr>
            </w:pPr>
            <w:r>
              <w:rPr>
                <w:sz w:val="18"/>
                <w:szCs w:val="18"/>
              </w:rPr>
              <w:t>2023</w:t>
            </w:r>
            <w:r>
              <w:rPr>
                <w:rFonts w:hint="eastAsia"/>
                <w:sz w:val="18"/>
                <w:szCs w:val="18"/>
              </w:rPr>
              <w:t>年</w:t>
            </w:r>
            <w:r>
              <w:rPr>
                <w:sz w:val="18"/>
                <w:szCs w:val="18"/>
              </w:rPr>
              <w:t>2</w:t>
            </w:r>
            <w:r>
              <w:rPr>
                <w:rFonts w:hint="eastAsia"/>
                <w:sz w:val="18"/>
                <w:szCs w:val="18"/>
              </w:rPr>
              <w:t>月</w:t>
            </w:r>
            <w:r>
              <w:rPr>
                <w:sz w:val="18"/>
                <w:szCs w:val="18"/>
              </w:rPr>
              <w:t>22</w:t>
            </w:r>
            <w:r>
              <w:rPr>
                <w:rFonts w:hint="eastAsia"/>
                <w:sz w:val="18"/>
                <w:szCs w:val="18"/>
              </w:rPr>
              <w:t>日</w:t>
            </w:r>
            <w:r>
              <w:rPr>
                <w:sz w:val="18"/>
                <w:szCs w:val="18"/>
              </w:rPr>
              <w:t>9</w:t>
            </w:r>
            <w:r>
              <w:rPr>
                <w:rFonts w:hint="eastAsia"/>
                <w:sz w:val="18"/>
                <w:szCs w:val="18"/>
              </w:rPr>
              <w:t>时</w:t>
            </w:r>
          </w:p>
        </w:tc>
        <w:tc>
          <w:tcPr>
            <w:tcW w:w="773" w:type="dxa"/>
            <w:vAlign w:val="center"/>
          </w:tcPr>
          <w:p>
            <w:pPr>
              <w:pStyle w:val="10"/>
              <w:spacing w:line="0" w:lineRule="atLeast"/>
              <w:jc w:val="center"/>
              <w:rPr>
                <w:sz w:val="18"/>
                <w:szCs w:val="18"/>
              </w:rPr>
            </w:pPr>
            <w:r>
              <w:rPr>
                <w:sz w:val="18"/>
                <w:szCs w:val="18"/>
              </w:rPr>
              <w:t>≥</w:t>
            </w:r>
            <w:r>
              <w:rPr>
                <w:rFonts w:hint="eastAsia"/>
                <w:sz w:val="18"/>
                <w:szCs w:val="18"/>
              </w:rPr>
              <w:t>16700</w:t>
            </w:r>
            <w:r>
              <w:rPr>
                <w:sz w:val="18"/>
                <w:szCs w:val="18"/>
              </w:rPr>
              <w:t>元/㎡</w:t>
            </w:r>
          </w:p>
        </w:tc>
        <w:tc>
          <w:tcPr>
            <w:tcW w:w="1230" w:type="dxa"/>
            <w:vAlign w:val="center"/>
          </w:tcPr>
          <w:p>
            <w:pPr>
              <w:pStyle w:val="10"/>
              <w:spacing w:line="0" w:lineRule="atLeast"/>
              <w:jc w:val="center"/>
              <w:rPr>
                <w:sz w:val="18"/>
                <w:szCs w:val="18"/>
              </w:rPr>
            </w:pPr>
            <w:r>
              <w:rPr>
                <w:sz w:val="18"/>
                <w:szCs w:val="18"/>
              </w:rPr>
              <w:t>新型电子元器件等电子产品用材料</w:t>
            </w:r>
          </w:p>
        </w:tc>
        <w:tc>
          <w:tcPr>
            <w:tcW w:w="1095" w:type="dxa"/>
            <w:vAlign w:val="center"/>
          </w:tcPr>
          <w:p>
            <w:pPr>
              <w:pStyle w:val="10"/>
              <w:spacing w:line="0" w:lineRule="atLeast"/>
              <w:jc w:val="center"/>
              <w:rPr>
                <w:sz w:val="18"/>
                <w:szCs w:val="18"/>
              </w:rPr>
            </w:pPr>
            <w:r>
              <w:rPr>
                <w:sz w:val="18"/>
                <w:szCs w:val="18"/>
              </w:rPr>
              <w:t>惠州潼湖生态智慧区管理委员会</w:t>
            </w:r>
          </w:p>
        </w:tc>
        <w:tc>
          <w:tcPr>
            <w:tcW w:w="1095" w:type="dxa"/>
            <w:vAlign w:val="center"/>
          </w:tcPr>
          <w:p>
            <w:pPr>
              <w:pStyle w:val="10"/>
              <w:spacing w:line="0" w:lineRule="atLeast"/>
              <w:jc w:val="center"/>
              <w:rPr>
                <w:kern w:val="0"/>
                <w:sz w:val="18"/>
                <w:szCs w:val="18"/>
              </w:rPr>
            </w:pPr>
            <w:r>
              <w:rPr>
                <w:kern w:val="0"/>
                <w:sz w:val="18"/>
                <w:szCs w:val="18"/>
              </w:rPr>
              <w:t>行政办公及生活服务配套设施用地面积不得超过总用地面积的</w:t>
            </w:r>
            <w:r>
              <w:rPr>
                <w:rFonts w:hint="eastAsia"/>
                <w:kern w:val="0"/>
                <w:sz w:val="18"/>
                <w:szCs w:val="18"/>
              </w:rPr>
              <w:t>7</w:t>
            </w:r>
            <w:r>
              <w:rPr>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8" w:hRule="atLeast"/>
          <w:jc w:val="center"/>
        </w:trPr>
        <w:tc>
          <w:tcPr>
            <w:tcW w:w="717" w:type="dxa"/>
            <w:vAlign w:val="center"/>
          </w:tcPr>
          <w:p>
            <w:pPr>
              <w:pStyle w:val="10"/>
              <w:spacing w:line="0" w:lineRule="atLeast"/>
              <w:jc w:val="center"/>
              <w:rPr>
                <w:sz w:val="18"/>
                <w:szCs w:val="18"/>
              </w:rPr>
            </w:pPr>
            <w:r>
              <w:rPr>
                <w:sz w:val="18"/>
                <w:szCs w:val="18"/>
              </w:rPr>
              <w:t>惠仲土（用地）挂[202</w:t>
            </w:r>
            <w:r>
              <w:rPr>
                <w:rFonts w:hint="eastAsia"/>
                <w:sz w:val="18"/>
                <w:szCs w:val="18"/>
              </w:rPr>
              <w:t>3</w:t>
            </w:r>
            <w:r>
              <w:rPr>
                <w:sz w:val="18"/>
                <w:szCs w:val="18"/>
              </w:rPr>
              <w:t>]0</w:t>
            </w:r>
            <w:r>
              <w:rPr>
                <w:rFonts w:hint="eastAsia"/>
                <w:sz w:val="18"/>
                <w:szCs w:val="18"/>
              </w:rPr>
              <w:t>0</w:t>
            </w:r>
            <w:r>
              <w:rPr>
                <w:sz w:val="18"/>
                <w:szCs w:val="18"/>
              </w:rPr>
              <w:t>8号</w:t>
            </w:r>
          </w:p>
        </w:tc>
        <w:tc>
          <w:tcPr>
            <w:tcW w:w="709" w:type="dxa"/>
            <w:vAlign w:val="center"/>
          </w:tcPr>
          <w:p>
            <w:pPr>
              <w:pStyle w:val="10"/>
              <w:spacing w:line="0" w:lineRule="atLeast"/>
              <w:jc w:val="center"/>
              <w:rPr>
                <w:sz w:val="18"/>
                <w:szCs w:val="18"/>
              </w:rPr>
            </w:pPr>
            <w:r>
              <w:rPr>
                <w:sz w:val="18"/>
                <w:szCs w:val="18"/>
              </w:rPr>
              <w:t>惠州潼湖生态智慧区国际合作产业园中区</w:t>
            </w:r>
          </w:p>
        </w:tc>
        <w:tc>
          <w:tcPr>
            <w:tcW w:w="661" w:type="dxa"/>
            <w:vAlign w:val="center"/>
          </w:tcPr>
          <w:p>
            <w:pPr>
              <w:pStyle w:val="10"/>
              <w:spacing w:line="0" w:lineRule="atLeast"/>
              <w:jc w:val="center"/>
              <w:rPr>
                <w:sz w:val="18"/>
                <w:szCs w:val="18"/>
              </w:rPr>
            </w:pPr>
            <w:r>
              <w:rPr>
                <w:rFonts w:hint="eastAsia"/>
                <w:sz w:val="18"/>
                <w:szCs w:val="18"/>
              </w:rPr>
              <w:t>ZKD-003-02</w:t>
            </w:r>
          </w:p>
        </w:tc>
        <w:tc>
          <w:tcPr>
            <w:tcW w:w="640" w:type="dxa"/>
            <w:vAlign w:val="center"/>
          </w:tcPr>
          <w:p>
            <w:pPr>
              <w:pStyle w:val="10"/>
              <w:spacing w:line="0" w:lineRule="atLeast"/>
              <w:jc w:val="center"/>
              <w:rPr>
                <w:sz w:val="18"/>
                <w:szCs w:val="18"/>
              </w:rPr>
            </w:pPr>
            <w:r>
              <w:rPr>
                <w:sz w:val="18"/>
                <w:szCs w:val="18"/>
              </w:rPr>
              <w:t>26390（其中使用权面积19670㎡）</w:t>
            </w:r>
          </w:p>
        </w:tc>
        <w:tc>
          <w:tcPr>
            <w:tcW w:w="487" w:type="dxa"/>
            <w:vAlign w:val="center"/>
          </w:tcPr>
          <w:p>
            <w:pPr>
              <w:pStyle w:val="10"/>
              <w:spacing w:line="0" w:lineRule="atLeast"/>
              <w:jc w:val="center"/>
              <w:rPr>
                <w:sz w:val="18"/>
                <w:szCs w:val="18"/>
              </w:rPr>
            </w:pPr>
            <w:r>
              <w:rPr>
                <w:sz w:val="18"/>
                <w:szCs w:val="18"/>
              </w:rPr>
              <w:t>工业用地</w:t>
            </w:r>
          </w:p>
        </w:tc>
        <w:tc>
          <w:tcPr>
            <w:tcW w:w="695" w:type="dxa"/>
            <w:vAlign w:val="center"/>
          </w:tcPr>
          <w:p>
            <w:pPr>
              <w:pStyle w:val="10"/>
              <w:spacing w:line="0" w:lineRule="atLeast"/>
              <w:jc w:val="center"/>
              <w:rPr>
                <w:sz w:val="18"/>
                <w:szCs w:val="18"/>
              </w:rPr>
            </w:pPr>
            <w:r>
              <w:rPr>
                <w:rFonts w:hint="eastAsia"/>
                <w:sz w:val="18"/>
                <w:szCs w:val="18"/>
              </w:rPr>
              <w:t>26390</w:t>
            </w:r>
          </w:p>
        </w:tc>
        <w:tc>
          <w:tcPr>
            <w:tcW w:w="755" w:type="dxa"/>
            <w:vAlign w:val="center"/>
          </w:tcPr>
          <w:p>
            <w:pPr>
              <w:pStyle w:val="10"/>
              <w:spacing w:line="0" w:lineRule="atLeast"/>
              <w:jc w:val="center"/>
              <w:rPr>
                <w:sz w:val="18"/>
                <w:szCs w:val="18"/>
              </w:rPr>
            </w:pPr>
            <w:r>
              <w:rPr>
                <w:rFonts w:hint="eastAsia"/>
                <w:sz w:val="18"/>
                <w:szCs w:val="18"/>
              </w:rPr>
              <w:t>2.0</w:t>
            </w:r>
            <w:r>
              <w:rPr>
                <w:sz w:val="18"/>
                <w:szCs w:val="18"/>
              </w:rPr>
              <w:t>≤R≤</w:t>
            </w:r>
            <w:r>
              <w:rPr>
                <w:rFonts w:hint="eastAsia"/>
                <w:sz w:val="18"/>
                <w:szCs w:val="18"/>
              </w:rPr>
              <w:t>2</w:t>
            </w:r>
            <w:r>
              <w:rPr>
                <w:sz w:val="18"/>
                <w:szCs w:val="18"/>
              </w:rPr>
              <w:t>.5</w:t>
            </w:r>
          </w:p>
        </w:tc>
        <w:tc>
          <w:tcPr>
            <w:tcW w:w="1000" w:type="dxa"/>
            <w:vAlign w:val="center"/>
          </w:tcPr>
          <w:p>
            <w:pPr>
              <w:pStyle w:val="10"/>
              <w:spacing w:line="0" w:lineRule="atLeast"/>
              <w:jc w:val="center"/>
              <w:rPr>
                <w:sz w:val="18"/>
                <w:szCs w:val="18"/>
              </w:rPr>
            </w:pPr>
            <w:r>
              <w:rPr>
                <w:rFonts w:hint="eastAsia"/>
                <w:sz w:val="18"/>
                <w:szCs w:val="18"/>
              </w:rPr>
              <w:t>52780</w:t>
            </w:r>
            <w:r>
              <w:rPr>
                <w:sz w:val="18"/>
                <w:szCs w:val="18"/>
              </w:rPr>
              <w:t>≤S≤</w:t>
            </w:r>
            <w:r>
              <w:rPr>
                <w:rFonts w:hint="eastAsia"/>
                <w:sz w:val="18"/>
                <w:szCs w:val="18"/>
              </w:rPr>
              <w:t>65975</w:t>
            </w:r>
          </w:p>
        </w:tc>
        <w:tc>
          <w:tcPr>
            <w:tcW w:w="559" w:type="dxa"/>
            <w:vAlign w:val="center"/>
          </w:tcPr>
          <w:p>
            <w:pPr>
              <w:pStyle w:val="10"/>
              <w:spacing w:line="0" w:lineRule="atLeast"/>
              <w:jc w:val="center"/>
              <w:rPr>
                <w:sz w:val="18"/>
                <w:szCs w:val="18"/>
              </w:rPr>
            </w:pPr>
            <w:r>
              <w:rPr>
                <w:sz w:val="18"/>
                <w:szCs w:val="18"/>
              </w:rPr>
              <w:t>≥30</w:t>
            </w:r>
          </w:p>
        </w:tc>
        <w:tc>
          <w:tcPr>
            <w:tcW w:w="747" w:type="dxa"/>
            <w:vAlign w:val="center"/>
          </w:tcPr>
          <w:p>
            <w:pPr>
              <w:pStyle w:val="10"/>
              <w:spacing w:line="0" w:lineRule="atLeast"/>
              <w:jc w:val="center"/>
              <w:rPr>
                <w:sz w:val="18"/>
                <w:szCs w:val="18"/>
              </w:rPr>
            </w:pPr>
            <w:r>
              <w:rPr>
                <w:sz w:val="18"/>
                <w:szCs w:val="18"/>
              </w:rPr>
              <w:t>15≤绿地率≤20</w:t>
            </w:r>
          </w:p>
        </w:tc>
        <w:tc>
          <w:tcPr>
            <w:tcW w:w="854" w:type="dxa"/>
            <w:vAlign w:val="center"/>
          </w:tcPr>
          <w:p>
            <w:pPr>
              <w:pStyle w:val="10"/>
              <w:spacing w:line="0" w:lineRule="atLeast"/>
              <w:jc w:val="center"/>
              <w:rPr>
                <w:sz w:val="18"/>
                <w:szCs w:val="18"/>
              </w:rPr>
            </w:pPr>
            <w:r>
              <w:rPr>
                <w:rFonts w:hint="eastAsia"/>
                <w:kern w:val="0"/>
                <w:sz w:val="18"/>
                <w:szCs w:val="18"/>
              </w:rPr>
              <w:t>按《规划设计条件告知书》要求配建</w:t>
            </w:r>
          </w:p>
        </w:tc>
        <w:tc>
          <w:tcPr>
            <w:tcW w:w="714" w:type="dxa"/>
            <w:vAlign w:val="center"/>
          </w:tcPr>
          <w:p>
            <w:pPr>
              <w:pStyle w:val="10"/>
              <w:spacing w:line="0" w:lineRule="atLeast"/>
              <w:jc w:val="center"/>
              <w:rPr>
                <w:sz w:val="18"/>
                <w:szCs w:val="18"/>
              </w:rPr>
            </w:pPr>
            <w:r>
              <w:rPr>
                <w:rFonts w:hint="eastAsia"/>
                <w:sz w:val="18"/>
                <w:szCs w:val="18"/>
              </w:rPr>
              <w:t>50</w:t>
            </w:r>
          </w:p>
        </w:tc>
        <w:tc>
          <w:tcPr>
            <w:tcW w:w="714" w:type="dxa"/>
            <w:vAlign w:val="center"/>
          </w:tcPr>
          <w:p>
            <w:pPr>
              <w:pStyle w:val="10"/>
              <w:spacing w:line="0" w:lineRule="atLeast"/>
              <w:jc w:val="center"/>
              <w:rPr>
                <w:sz w:val="18"/>
                <w:szCs w:val="18"/>
              </w:rPr>
            </w:pPr>
            <w:r>
              <w:rPr>
                <w:rFonts w:hint="eastAsia"/>
                <w:sz w:val="18"/>
                <w:szCs w:val="18"/>
              </w:rPr>
              <w:t>2759</w:t>
            </w:r>
          </w:p>
        </w:tc>
        <w:tc>
          <w:tcPr>
            <w:tcW w:w="743" w:type="dxa"/>
            <w:vAlign w:val="center"/>
          </w:tcPr>
          <w:p>
            <w:pPr>
              <w:pStyle w:val="10"/>
              <w:spacing w:line="0" w:lineRule="atLeast"/>
              <w:jc w:val="center"/>
              <w:rPr>
                <w:sz w:val="18"/>
                <w:szCs w:val="18"/>
              </w:rPr>
            </w:pPr>
            <w:r>
              <w:rPr>
                <w:rFonts w:hint="eastAsia"/>
                <w:sz w:val="18"/>
                <w:szCs w:val="18"/>
              </w:rPr>
              <w:t>30</w:t>
            </w:r>
          </w:p>
        </w:tc>
        <w:tc>
          <w:tcPr>
            <w:tcW w:w="670" w:type="dxa"/>
            <w:vAlign w:val="center"/>
          </w:tcPr>
          <w:p>
            <w:pPr>
              <w:pStyle w:val="10"/>
              <w:spacing w:line="0" w:lineRule="atLeast"/>
              <w:jc w:val="center"/>
              <w:rPr>
                <w:sz w:val="18"/>
                <w:szCs w:val="18"/>
              </w:rPr>
            </w:pPr>
            <w:r>
              <w:rPr>
                <w:rFonts w:hint="eastAsia"/>
                <w:sz w:val="18"/>
                <w:szCs w:val="18"/>
              </w:rPr>
              <w:t>552</w:t>
            </w:r>
          </w:p>
        </w:tc>
        <w:tc>
          <w:tcPr>
            <w:tcW w:w="772" w:type="dxa"/>
            <w:vAlign w:val="center"/>
          </w:tcPr>
          <w:p>
            <w:pPr>
              <w:pStyle w:val="10"/>
              <w:spacing w:line="0" w:lineRule="atLeast"/>
              <w:jc w:val="center"/>
              <w:rPr>
                <w:sz w:val="18"/>
                <w:szCs w:val="18"/>
              </w:rPr>
            </w:pPr>
            <w:r>
              <w:rPr>
                <w:sz w:val="18"/>
                <w:szCs w:val="18"/>
              </w:rPr>
              <w:t>2023</w:t>
            </w:r>
            <w:r>
              <w:rPr>
                <w:rFonts w:hint="eastAsia"/>
                <w:sz w:val="18"/>
                <w:szCs w:val="18"/>
              </w:rPr>
              <w:t>年</w:t>
            </w:r>
            <w:r>
              <w:rPr>
                <w:sz w:val="18"/>
                <w:szCs w:val="18"/>
              </w:rPr>
              <w:t>2</w:t>
            </w:r>
            <w:r>
              <w:rPr>
                <w:rFonts w:hint="eastAsia"/>
                <w:sz w:val="18"/>
                <w:szCs w:val="18"/>
              </w:rPr>
              <w:t>月</w:t>
            </w:r>
            <w:r>
              <w:rPr>
                <w:sz w:val="18"/>
                <w:szCs w:val="18"/>
              </w:rPr>
              <w:t>22</w:t>
            </w:r>
            <w:r>
              <w:rPr>
                <w:rFonts w:hint="eastAsia"/>
                <w:sz w:val="18"/>
                <w:szCs w:val="18"/>
              </w:rPr>
              <w:t>日</w:t>
            </w:r>
            <w:r>
              <w:rPr>
                <w:sz w:val="18"/>
                <w:szCs w:val="18"/>
              </w:rPr>
              <w:t>9</w:t>
            </w:r>
            <w:r>
              <w:rPr>
                <w:rFonts w:hint="eastAsia"/>
                <w:sz w:val="18"/>
                <w:szCs w:val="18"/>
              </w:rPr>
              <w:t>时</w:t>
            </w:r>
          </w:p>
        </w:tc>
        <w:tc>
          <w:tcPr>
            <w:tcW w:w="773" w:type="dxa"/>
            <w:vAlign w:val="center"/>
          </w:tcPr>
          <w:p>
            <w:pPr>
              <w:pStyle w:val="10"/>
              <w:spacing w:line="0" w:lineRule="atLeast"/>
              <w:jc w:val="center"/>
              <w:rPr>
                <w:sz w:val="18"/>
                <w:szCs w:val="18"/>
              </w:rPr>
            </w:pPr>
            <w:r>
              <w:rPr>
                <w:sz w:val="18"/>
                <w:szCs w:val="18"/>
              </w:rPr>
              <w:t>≥</w:t>
            </w:r>
            <w:r>
              <w:rPr>
                <w:rFonts w:hint="eastAsia"/>
                <w:sz w:val="18"/>
                <w:szCs w:val="18"/>
              </w:rPr>
              <w:t>10989</w:t>
            </w:r>
            <w:r>
              <w:rPr>
                <w:sz w:val="18"/>
                <w:szCs w:val="18"/>
              </w:rPr>
              <w:t>元/㎡</w:t>
            </w:r>
          </w:p>
        </w:tc>
        <w:tc>
          <w:tcPr>
            <w:tcW w:w="1230" w:type="dxa"/>
            <w:vAlign w:val="center"/>
          </w:tcPr>
          <w:p>
            <w:pPr>
              <w:pStyle w:val="10"/>
              <w:spacing w:line="0" w:lineRule="atLeast"/>
              <w:jc w:val="center"/>
              <w:rPr>
                <w:sz w:val="18"/>
                <w:szCs w:val="18"/>
              </w:rPr>
            </w:pPr>
            <w:r>
              <w:rPr>
                <w:sz w:val="18"/>
                <w:szCs w:val="18"/>
              </w:rPr>
              <w:t>太阳能热发电集热系统、太阳能光伏发电系统集成技术开发应用、逆变控制系统开发制造</w:t>
            </w:r>
          </w:p>
        </w:tc>
        <w:tc>
          <w:tcPr>
            <w:tcW w:w="1095" w:type="dxa"/>
            <w:vAlign w:val="center"/>
          </w:tcPr>
          <w:p>
            <w:pPr>
              <w:pStyle w:val="10"/>
              <w:spacing w:line="0" w:lineRule="atLeast"/>
              <w:jc w:val="center"/>
              <w:rPr>
                <w:sz w:val="18"/>
                <w:szCs w:val="18"/>
              </w:rPr>
            </w:pPr>
            <w:r>
              <w:rPr>
                <w:sz w:val="18"/>
                <w:szCs w:val="18"/>
              </w:rPr>
              <w:t>惠州潼湖生态智慧区管理委员会</w:t>
            </w:r>
          </w:p>
        </w:tc>
        <w:tc>
          <w:tcPr>
            <w:tcW w:w="1095" w:type="dxa"/>
            <w:vAlign w:val="center"/>
          </w:tcPr>
          <w:p>
            <w:pPr>
              <w:pStyle w:val="10"/>
              <w:spacing w:line="0" w:lineRule="atLeast"/>
              <w:jc w:val="center"/>
              <w:rPr>
                <w:kern w:val="0"/>
                <w:sz w:val="18"/>
                <w:szCs w:val="18"/>
              </w:rPr>
            </w:pPr>
            <w:r>
              <w:rPr>
                <w:kern w:val="0"/>
                <w:sz w:val="18"/>
                <w:szCs w:val="18"/>
              </w:rPr>
              <w:t>行政办公及生活服务配套设施用地面积不得超过总用地面积的</w:t>
            </w:r>
            <w:r>
              <w:rPr>
                <w:rFonts w:hint="eastAsia"/>
                <w:kern w:val="0"/>
                <w:sz w:val="18"/>
                <w:szCs w:val="18"/>
              </w:rPr>
              <w:t>7</w:t>
            </w:r>
            <w:r>
              <w:rPr>
                <w:kern w:val="0"/>
                <w:sz w:val="18"/>
                <w:szCs w:val="18"/>
              </w:rPr>
              <w:t>%</w:t>
            </w:r>
            <w:r>
              <w:rPr>
                <w:rFonts w:hint="eastAsia"/>
                <w:kern w:val="0"/>
                <w:sz w:val="18"/>
                <w:szCs w:val="18"/>
              </w:rPr>
              <w:t>；需配建一处</w:t>
            </w:r>
            <w:r>
              <w:rPr>
                <w:kern w:val="0"/>
                <w:sz w:val="18"/>
                <w:szCs w:val="18"/>
              </w:rPr>
              <w:t>5G</w:t>
            </w:r>
            <w:r>
              <w:rPr>
                <w:rFonts w:hint="eastAsia"/>
                <w:kern w:val="0"/>
                <w:sz w:val="18"/>
                <w:szCs w:val="18"/>
              </w:rPr>
              <w:t>通信基站，每处基站建筑面积≥</w:t>
            </w:r>
            <w:r>
              <w:rPr>
                <w:kern w:val="0"/>
                <w:sz w:val="18"/>
                <w:szCs w:val="18"/>
              </w:rPr>
              <w:t>35</w:t>
            </w:r>
            <w:r>
              <w:rPr>
                <w:rFonts w:hint="eastAsia"/>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8" w:hRule="atLeast"/>
          <w:jc w:val="center"/>
        </w:trPr>
        <w:tc>
          <w:tcPr>
            <w:tcW w:w="717" w:type="dxa"/>
            <w:vAlign w:val="center"/>
          </w:tcPr>
          <w:p>
            <w:pPr>
              <w:pStyle w:val="10"/>
              <w:spacing w:line="0" w:lineRule="atLeast"/>
              <w:jc w:val="center"/>
              <w:rPr>
                <w:sz w:val="18"/>
                <w:szCs w:val="18"/>
              </w:rPr>
            </w:pPr>
            <w:r>
              <w:rPr>
                <w:sz w:val="18"/>
                <w:szCs w:val="18"/>
              </w:rPr>
              <w:t>惠仲土（用地）挂[202</w:t>
            </w:r>
            <w:r>
              <w:rPr>
                <w:rFonts w:hint="eastAsia"/>
                <w:sz w:val="18"/>
                <w:szCs w:val="18"/>
              </w:rPr>
              <w:t>3</w:t>
            </w:r>
            <w:r>
              <w:rPr>
                <w:sz w:val="18"/>
                <w:szCs w:val="18"/>
              </w:rPr>
              <w:t>]0</w:t>
            </w:r>
            <w:r>
              <w:rPr>
                <w:rFonts w:hint="eastAsia"/>
                <w:sz w:val="18"/>
                <w:szCs w:val="18"/>
              </w:rPr>
              <w:t>0</w:t>
            </w:r>
            <w:r>
              <w:rPr>
                <w:sz w:val="18"/>
                <w:szCs w:val="18"/>
              </w:rPr>
              <w:t>9 号</w:t>
            </w:r>
          </w:p>
        </w:tc>
        <w:tc>
          <w:tcPr>
            <w:tcW w:w="709" w:type="dxa"/>
            <w:vAlign w:val="center"/>
          </w:tcPr>
          <w:p>
            <w:pPr>
              <w:pStyle w:val="10"/>
              <w:spacing w:line="0" w:lineRule="atLeast"/>
              <w:jc w:val="center"/>
              <w:rPr>
                <w:sz w:val="18"/>
                <w:szCs w:val="18"/>
              </w:rPr>
            </w:pPr>
            <w:r>
              <w:rPr>
                <w:sz w:val="18"/>
                <w:szCs w:val="18"/>
              </w:rPr>
              <w:t>惠州仲恺高新区潼湖镇</w:t>
            </w:r>
          </w:p>
        </w:tc>
        <w:tc>
          <w:tcPr>
            <w:tcW w:w="661" w:type="dxa"/>
            <w:vAlign w:val="center"/>
          </w:tcPr>
          <w:p>
            <w:pPr>
              <w:pStyle w:val="10"/>
              <w:spacing w:line="0" w:lineRule="atLeast"/>
              <w:jc w:val="center"/>
              <w:rPr>
                <w:sz w:val="18"/>
                <w:szCs w:val="18"/>
              </w:rPr>
            </w:pPr>
            <w:r>
              <w:rPr>
                <w:sz w:val="18"/>
                <w:szCs w:val="18"/>
              </w:rPr>
              <w:t>ZKD-010-27-02-0</w:t>
            </w:r>
            <w:r>
              <w:rPr>
                <w:rFonts w:hint="eastAsia"/>
                <w:sz w:val="18"/>
                <w:szCs w:val="18"/>
              </w:rPr>
              <w:t>2</w:t>
            </w:r>
          </w:p>
        </w:tc>
        <w:tc>
          <w:tcPr>
            <w:tcW w:w="640" w:type="dxa"/>
            <w:vAlign w:val="center"/>
          </w:tcPr>
          <w:p>
            <w:pPr>
              <w:pStyle w:val="10"/>
              <w:spacing w:line="0" w:lineRule="atLeast"/>
              <w:jc w:val="center"/>
              <w:rPr>
                <w:sz w:val="18"/>
                <w:szCs w:val="18"/>
              </w:rPr>
            </w:pPr>
            <w:r>
              <w:rPr>
                <w:rFonts w:hint="eastAsia"/>
                <w:sz w:val="18"/>
                <w:szCs w:val="18"/>
              </w:rPr>
              <w:t>21741</w:t>
            </w:r>
            <w:r>
              <w:rPr>
                <w:sz w:val="18"/>
                <w:szCs w:val="18"/>
              </w:rPr>
              <w:t>（其中使用权面积</w:t>
            </w:r>
            <w:r>
              <w:rPr>
                <w:rFonts w:hint="eastAsia"/>
                <w:sz w:val="18"/>
                <w:szCs w:val="18"/>
              </w:rPr>
              <w:t>18392</w:t>
            </w:r>
            <w:r>
              <w:rPr>
                <w:sz w:val="18"/>
                <w:szCs w:val="18"/>
              </w:rPr>
              <w:t>㎡）</w:t>
            </w:r>
          </w:p>
        </w:tc>
        <w:tc>
          <w:tcPr>
            <w:tcW w:w="487" w:type="dxa"/>
            <w:vAlign w:val="center"/>
          </w:tcPr>
          <w:p>
            <w:pPr>
              <w:pStyle w:val="10"/>
              <w:spacing w:line="0" w:lineRule="atLeast"/>
              <w:jc w:val="center"/>
              <w:rPr>
                <w:sz w:val="18"/>
                <w:szCs w:val="18"/>
              </w:rPr>
            </w:pPr>
            <w:r>
              <w:rPr>
                <w:sz w:val="18"/>
                <w:szCs w:val="18"/>
              </w:rPr>
              <w:t>工业用地</w:t>
            </w:r>
          </w:p>
        </w:tc>
        <w:tc>
          <w:tcPr>
            <w:tcW w:w="695" w:type="dxa"/>
            <w:vAlign w:val="center"/>
          </w:tcPr>
          <w:p>
            <w:pPr>
              <w:pStyle w:val="10"/>
              <w:spacing w:line="0" w:lineRule="atLeast"/>
              <w:jc w:val="center"/>
              <w:rPr>
                <w:sz w:val="18"/>
                <w:szCs w:val="18"/>
              </w:rPr>
            </w:pPr>
            <w:r>
              <w:rPr>
                <w:rFonts w:hint="eastAsia"/>
                <w:sz w:val="18"/>
                <w:szCs w:val="18"/>
              </w:rPr>
              <w:t>21741</w:t>
            </w:r>
          </w:p>
        </w:tc>
        <w:tc>
          <w:tcPr>
            <w:tcW w:w="755" w:type="dxa"/>
            <w:vAlign w:val="center"/>
          </w:tcPr>
          <w:p>
            <w:pPr>
              <w:pStyle w:val="10"/>
              <w:spacing w:line="0" w:lineRule="atLeast"/>
              <w:jc w:val="center"/>
              <w:rPr>
                <w:sz w:val="18"/>
                <w:szCs w:val="18"/>
              </w:rPr>
            </w:pPr>
            <w:r>
              <w:rPr>
                <w:rFonts w:hint="eastAsia"/>
                <w:sz w:val="18"/>
                <w:szCs w:val="18"/>
              </w:rPr>
              <w:t>2.0</w:t>
            </w:r>
            <w:r>
              <w:rPr>
                <w:sz w:val="18"/>
                <w:szCs w:val="18"/>
              </w:rPr>
              <w:t>≤R≤</w:t>
            </w:r>
            <w:r>
              <w:rPr>
                <w:rFonts w:hint="eastAsia"/>
                <w:sz w:val="18"/>
                <w:szCs w:val="18"/>
              </w:rPr>
              <w:t>2</w:t>
            </w:r>
            <w:r>
              <w:rPr>
                <w:sz w:val="18"/>
                <w:szCs w:val="18"/>
              </w:rPr>
              <w:t>.5</w:t>
            </w:r>
          </w:p>
        </w:tc>
        <w:tc>
          <w:tcPr>
            <w:tcW w:w="1000" w:type="dxa"/>
            <w:vAlign w:val="center"/>
          </w:tcPr>
          <w:p>
            <w:pPr>
              <w:pStyle w:val="10"/>
              <w:spacing w:line="0" w:lineRule="atLeast"/>
              <w:jc w:val="center"/>
              <w:rPr>
                <w:sz w:val="18"/>
                <w:szCs w:val="18"/>
              </w:rPr>
            </w:pPr>
            <w:r>
              <w:rPr>
                <w:rFonts w:hint="eastAsia"/>
                <w:sz w:val="18"/>
                <w:szCs w:val="18"/>
              </w:rPr>
              <w:t>43482</w:t>
            </w:r>
            <w:r>
              <w:rPr>
                <w:sz w:val="18"/>
                <w:szCs w:val="18"/>
              </w:rPr>
              <w:t>≤S≤</w:t>
            </w:r>
            <w:r>
              <w:rPr>
                <w:rFonts w:hint="eastAsia"/>
                <w:sz w:val="18"/>
                <w:szCs w:val="18"/>
              </w:rPr>
              <w:t>54353</w:t>
            </w:r>
          </w:p>
        </w:tc>
        <w:tc>
          <w:tcPr>
            <w:tcW w:w="559" w:type="dxa"/>
            <w:vAlign w:val="center"/>
          </w:tcPr>
          <w:p>
            <w:pPr>
              <w:pStyle w:val="10"/>
              <w:spacing w:line="0" w:lineRule="atLeast"/>
              <w:jc w:val="center"/>
              <w:rPr>
                <w:sz w:val="18"/>
                <w:szCs w:val="18"/>
              </w:rPr>
            </w:pPr>
            <w:r>
              <w:rPr>
                <w:sz w:val="18"/>
                <w:szCs w:val="18"/>
              </w:rPr>
              <w:t>≥30</w:t>
            </w:r>
          </w:p>
        </w:tc>
        <w:tc>
          <w:tcPr>
            <w:tcW w:w="747" w:type="dxa"/>
            <w:vAlign w:val="center"/>
          </w:tcPr>
          <w:p>
            <w:pPr>
              <w:pStyle w:val="10"/>
              <w:spacing w:line="0" w:lineRule="atLeast"/>
              <w:jc w:val="center"/>
              <w:rPr>
                <w:sz w:val="18"/>
                <w:szCs w:val="18"/>
              </w:rPr>
            </w:pPr>
            <w:r>
              <w:rPr>
                <w:sz w:val="18"/>
                <w:szCs w:val="18"/>
              </w:rPr>
              <w:t>15≤绿地率≤20</w:t>
            </w:r>
          </w:p>
        </w:tc>
        <w:tc>
          <w:tcPr>
            <w:tcW w:w="854" w:type="dxa"/>
            <w:vAlign w:val="center"/>
          </w:tcPr>
          <w:p>
            <w:pPr>
              <w:pStyle w:val="10"/>
              <w:spacing w:line="0" w:lineRule="atLeast"/>
              <w:jc w:val="center"/>
              <w:rPr>
                <w:kern w:val="0"/>
                <w:sz w:val="18"/>
                <w:szCs w:val="18"/>
              </w:rPr>
            </w:pPr>
            <w:r>
              <w:rPr>
                <w:rFonts w:hint="eastAsia"/>
                <w:kern w:val="0"/>
                <w:sz w:val="18"/>
                <w:szCs w:val="18"/>
              </w:rPr>
              <w:t>按《规划设计条件告知书》要求配建</w:t>
            </w:r>
          </w:p>
        </w:tc>
        <w:tc>
          <w:tcPr>
            <w:tcW w:w="714" w:type="dxa"/>
            <w:vAlign w:val="center"/>
          </w:tcPr>
          <w:p>
            <w:pPr>
              <w:pStyle w:val="10"/>
              <w:spacing w:line="0" w:lineRule="atLeast"/>
              <w:jc w:val="center"/>
              <w:rPr>
                <w:sz w:val="18"/>
                <w:szCs w:val="18"/>
              </w:rPr>
            </w:pPr>
            <w:r>
              <w:rPr>
                <w:rFonts w:hint="eastAsia"/>
                <w:sz w:val="18"/>
                <w:szCs w:val="18"/>
              </w:rPr>
              <w:t>50</w:t>
            </w:r>
          </w:p>
        </w:tc>
        <w:tc>
          <w:tcPr>
            <w:tcW w:w="714" w:type="dxa"/>
            <w:vAlign w:val="center"/>
          </w:tcPr>
          <w:p>
            <w:pPr>
              <w:pStyle w:val="10"/>
              <w:spacing w:line="0" w:lineRule="atLeast"/>
              <w:jc w:val="center"/>
              <w:rPr>
                <w:sz w:val="18"/>
                <w:szCs w:val="18"/>
              </w:rPr>
            </w:pPr>
            <w:r>
              <w:rPr>
                <w:rFonts w:hint="eastAsia"/>
                <w:sz w:val="18"/>
                <w:szCs w:val="18"/>
              </w:rPr>
              <w:t>2288</w:t>
            </w:r>
          </w:p>
        </w:tc>
        <w:tc>
          <w:tcPr>
            <w:tcW w:w="743" w:type="dxa"/>
            <w:vAlign w:val="center"/>
          </w:tcPr>
          <w:p>
            <w:pPr>
              <w:pStyle w:val="10"/>
              <w:spacing w:line="0" w:lineRule="atLeast"/>
              <w:jc w:val="center"/>
              <w:rPr>
                <w:sz w:val="18"/>
                <w:szCs w:val="18"/>
              </w:rPr>
            </w:pPr>
            <w:r>
              <w:rPr>
                <w:rFonts w:hint="eastAsia"/>
                <w:sz w:val="18"/>
                <w:szCs w:val="18"/>
              </w:rPr>
              <w:t>20</w:t>
            </w:r>
          </w:p>
        </w:tc>
        <w:tc>
          <w:tcPr>
            <w:tcW w:w="670" w:type="dxa"/>
            <w:vAlign w:val="center"/>
          </w:tcPr>
          <w:p>
            <w:pPr>
              <w:pStyle w:val="10"/>
              <w:spacing w:line="0" w:lineRule="atLeast"/>
              <w:jc w:val="center"/>
              <w:rPr>
                <w:sz w:val="18"/>
                <w:szCs w:val="18"/>
              </w:rPr>
            </w:pPr>
            <w:r>
              <w:rPr>
                <w:rFonts w:hint="eastAsia"/>
                <w:sz w:val="18"/>
                <w:szCs w:val="18"/>
              </w:rPr>
              <w:t>458</w:t>
            </w:r>
          </w:p>
        </w:tc>
        <w:tc>
          <w:tcPr>
            <w:tcW w:w="772" w:type="dxa"/>
            <w:vAlign w:val="center"/>
          </w:tcPr>
          <w:p>
            <w:pPr>
              <w:pStyle w:val="10"/>
              <w:spacing w:line="0" w:lineRule="atLeast"/>
              <w:jc w:val="center"/>
              <w:rPr>
                <w:sz w:val="18"/>
                <w:szCs w:val="18"/>
              </w:rPr>
            </w:pPr>
            <w:r>
              <w:rPr>
                <w:sz w:val="18"/>
                <w:szCs w:val="18"/>
              </w:rPr>
              <w:t>2023</w:t>
            </w:r>
            <w:r>
              <w:rPr>
                <w:rFonts w:hint="eastAsia"/>
                <w:sz w:val="18"/>
                <w:szCs w:val="18"/>
              </w:rPr>
              <w:t>年</w:t>
            </w:r>
            <w:r>
              <w:rPr>
                <w:sz w:val="18"/>
                <w:szCs w:val="18"/>
              </w:rPr>
              <w:t>2</w:t>
            </w:r>
            <w:r>
              <w:rPr>
                <w:rFonts w:hint="eastAsia"/>
                <w:sz w:val="18"/>
                <w:szCs w:val="18"/>
              </w:rPr>
              <w:t>月</w:t>
            </w:r>
            <w:r>
              <w:rPr>
                <w:sz w:val="18"/>
                <w:szCs w:val="18"/>
              </w:rPr>
              <w:t>22</w:t>
            </w:r>
            <w:r>
              <w:rPr>
                <w:rFonts w:hint="eastAsia"/>
                <w:sz w:val="18"/>
                <w:szCs w:val="18"/>
              </w:rPr>
              <w:t>日</w:t>
            </w:r>
            <w:r>
              <w:rPr>
                <w:sz w:val="18"/>
                <w:szCs w:val="18"/>
              </w:rPr>
              <w:t>9</w:t>
            </w:r>
            <w:r>
              <w:rPr>
                <w:rFonts w:hint="eastAsia"/>
                <w:sz w:val="18"/>
                <w:szCs w:val="18"/>
              </w:rPr>
              <w:t>时</w:t>
            </w:r>
          </w:p>
        </w:tc>
        <w:tc>
          <w:tcPr>
            <w:tcW w:w="773" w:type="dxa"/>
            <w:vAlign w:val="center"/>
          </w:tcPr>
          <w:p>
            <w:pPr>
              <w:pStyle w:val="10"/>
              <w:spacing w:line="0" w:lineRule="atLeast"/>
              <w:jc w:val="center"/>
              <w:rPr>
                <w:sz w:val="18"/>
                <w:szCs w:val="18"/>
              </w:rPr>
            </w:pPr>
            <w:r>
              <w:rPr>
                <w:sz w:val="18"/>
                <w:szCs w:val="18"/>
              </w:rPr>
              <w:t>≥</w:t>
            </w:r>
            <w:r>
              <w:rPr>
                <w:rFonts w:hint="eastAsia"/>
                <w:sz w:val="18"/>
                <w:szCs w:val="18"/>
              </w:rPr>
              <w:t>15000</w:t>
            </w:r>
            <w:r>
              <w:rPr>
                <w:sz w:val="18"/>
                <w:szCs w:val="18"/>
              </w:rPr>
              <w:t>元/㎡</w:t>
            </w:r>
          </w:p>
        </w:tc>
        <w:tc>
          <w:tcPr>
            <w:tcW w:w="1230" w:type="dxa"/>
            <w:vAlign w:val="center"/>
          </w:tcPr>
          <w:p>
            <w:pPr>
              <w:pStyle w:val="10"/>
              <w:spacing w:line="0" w:lineRule="atLeast"/>
              <w:jc w:val="center"/>
              <w:rPr>
                <w:sz w:val="18"/>
                <w:szCs w:val="18"/>
              </w:rPr>
            </w:pPr>
            <w:r>
              <w:rPr>
                <w:sz w:val="18"/>
                <w:szCs w:val="18"/>
              </w:rPr>
              <w:t>开发区、产业集聚区配套公共服务平台建设与服务</w:t>
            </w:r>
          </w:p>
        </w:tc>
        <w:tc>
          <w:tcPr>
            <w:tcW w:w="1095" w:type="dxa"/>
            <w:vAlign w:val="center"/>
          </w:tcPr>
          <w:p>
            <w:pPr>
              <w:pStyle w:val="10"/>
              <w:spacing w:line="0" w:lineRule="atLeast"/>
              <w:jc w:val="center"/>
              <w:rPr>
                <w:sz w:val="18"/>
                <w:szCs w:val="18"/>
              </w:rPr>
            </w:pPr>
            <w:r>
              <w:rPr>
                <w:sz w:val="18"/>
                <w:szCs w:val="18"/>
              </w:rPr>
              <w:t>惠州潼湖生态智慧区管理委员会</w:t>
            </w:r>
          </w:p>
        </w:tc>
        <w:tc>
          <w:tcPr>
            <w:tcW w:w="1095" w:type="dxa"/>
            <w:vAlign w:val="center"/>
          </w:tcPr>
          <w:p>
            <w:pPr>
              <w:pStyle w:val="10"/>
              <w:spacing w:line="0" w:lineRule="atLeast"/>
              <w:jc w:val="center"/>
              <w:rPr>
                <w:rFonts w:hint="eastAsia" w:eastAsia="宋体"/>
                <w:kern w:val="0"/>
                <w:sz w:val="18"/>
                <w:szCs w:val="18"/>
                <w:lang w:eastAsia="zh-CN"/>
              </w:rPr>
            </w:pPr>
            <w:r>
              <w:rPr>
                <w:kern w:val="0"/>
                <w:sz w:val="18"/>
                <w:szCs w:val="18"/>
              </w:rPr>
              <w:t>行政办公及生活服务配套设施用地面积不得超过总用地面积的</w:t>
            </w:r>
            <w:r>
              <w:rPr>
                <w:rFonts w:hint="eastAsia"/>
                <w:kern w:val="0"/>
                <w:sz w:val="18"/>
                <w:szCs w:val="18"/>
              </w:rPr>
              <w:t>7</w:t>
            </w:r>
            <w:r>
              <w:rPr>
                <w:kern w:val="0"/>
                <w:sz w:val="18"/>
                <w:szCs w:val="18"/>
              </w:rPr>
              <w:t>%</w:t>
            </w:r>
            <w:r>
              <w:rPr>
                <w:rFonts w:hint="eastAsia"/>
                <w:kern w:val="0"/>
                <w:sz w:val="18"/>
                <w:szCs w:val="18"/>
                <w:lang w:eastAsia="zh-CN"/>
              </w:rPr>
              <w:t>；需配建5G通信基站2个，每处基站建筑面积≥35㎡</w:t>
            </w:r>
          </w:p>
        </w:tc>
      </w:tr>
    </w:tbl>
    <w:p>
      <w:bookmarkStart w:id="29" w:name="_GoBack"/>
      <w:bookmarkEnd w:id="29"/>
    </w:p>
    <w:sectPr>
      <w:pgSz w:w="16838" w:h="11906" w:orient="landscape"/>
      <w:pgMar w:top="1123" w:right="1440" w:bottom="1123" w:left="144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92FCCF9-0257-4912-8E22-4D4035E3935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3FF30296-8BC1-4A8F-9535-7EB5E69F57B6}"/>
  </w:font>
  <w:font w:name="方正小标宋_GBK">
    <w:panose1 w:val="03000509000000000000"/>
    <w:charset w:val="86"/>
    <w:family w:val="script"/>
    <w:pitch w:val="default"/>
    <w:sig w:usb0="00000001" w:usb1="080E0000" w:usb2="00000000" w:usb3="00000000" w:csb0="00040000" w:csb1="00000000"/>
    <w:embedRegular r:id="rId3" w:fontKey="{D9E385A5-01FC-439F-A1A2-D41E1DEDC019}"/>
  </w:font>
  <w:font w:name="方正小标宋简体">
    <w:panose1 w:val="03000509000000000000"/>
    <w:charset w:val="86"/>
    <w:family w:val="auto"/>
    <w:pitch w:val="default"/>
    <w:sig w:usb0="00000001" w:usb1="080E0000" w:usb2="00000000" w:usb3="00000000" w:csb0="00040000" w:csb1="00000000"/>
    <w:embedRegular r:id="rId4" w:fontKey="{138E3DDE-F8EC-43CF-87AD-12E045496527}"/>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RjZjdkMjExYmQyYTMzOGJmZGE3NGNlZTRkZDdjOWEifQ=="/>
  </w:docVars>
  <w:rsids>
    <w:rsidRoot w:val="4D662110"/>
    <w:rsid w:val="006906DA"/>
    <w:rsid w:val="00714360"/>
    <w:rsid w:val="009031C3"/>
    <w:rsid w:val="00904750"/>
    <w:rsid w:val="00DE2070"/>
    <w:rsid w:val="047A778E"/>
    <w:rsid w:val="076C79FD"/>
    <w:rsid w:val="08962D0E"/>
    <w:rsid w:val="092E48AA"/>
    <w:rsid w:val="0BA1792C"/>
    <w:rsid w:val="120D798A"/>
    <w:rsid w:val="13255C09"/>
    <w:rsid w:val="13640989"/>
    <w:rsid w:val="14936383"/>
    <w:rsid w:val="1916216C"/>
    <w:rsid w:val="1A0456EB"/>
    <w:rsid w:val="1BF35718"/>
    <w:rsid w:val="1D37702F"/>
    <w:rsid w:val="1D5A220F"/>
    <w:rsid w:val="1F0E3240"/>
    <w:rsid w:val="1F574CD6"/>
    <w:rsid w:val="1FC711BC"/>
    <w:rsid w:val="20637A8F"/>
    <w:rsid w:val="232C3731"/>
    <w:rsid w:val="244A448C"/>
    <w:rsid w:val="25F86B3A"/>
    <w:rsid w:val="27947DA4"/>
    <w:rsid w:val="27953EB3"/>
    <w:rsid w:val="2AFA5DE6"/>
    <w:rsid w:val="2B674404"/>
    <w:rsid w:val="2DB3718B"/>
    <w:rsid w:val="30515DD5"/>
    <w:rsid w:val="32207F2E"/>
    <w:rsid w:val="32FD582A"/>
    <w:rsid w:val="34D14651"/>
    <w:rsid w:val="352D33B5"/>
    <w:rsid w:val="37BF2BD9"/>
    <w:rsid w:val="39E869C3"/>
    <w:rsid w:val="3C0178D1"/>
    <w:rsid w:val="3E4D3FE7"/>
    <w:rsid w:val="438C0A54"/>
    <w:rsid w:val="44755126"/>
    <w:rsid w:val="48642B7D"/>
    <w:rsid w:val="4D662110"/>
    <w:rsid w:val="50EA0B67"/>
    <w:rsid w:val="51D86272"/>
    <w:rsid w:val="53626A00"/>
    <w:rsid w:val="546B427E"/>
    <w:rsid w:val="562961DA"/>
    <w:rsid w:val="580B134B"/>
    <w:rsid w:val="5A100576"/>
    <w:rsid w:val="5A6279C1"/>
    <w:rsid w:val="60425832"/>
    <w:rsid w:val="678A17F8"/>
    <w:rsid w:val="68A8338A"/>
    <w:rsid w:val="69EE4FDB"/>
    <w:rsid w:val="6A8D5938"/>
    <w:rsid w:val="6C76570E"/>
    <w:rsid w:val="6E253E21"/>
    <w:rsid w:val="6E3B6A4F"/>
    <w:rsid w:val="75470B71"/>
    <w:rsid w:val="75695C4F"/>
    <w:rsid w:val="76546D13"/>
    <w:rsid w:val="78903695"/>
    <w:rsid w:val="798967A3"/>
    <w:rsid w:val="79BE6D15"/>
    <w:rsid w:val="7B892BA7"/>
    <w:rsid w:val="7C0D07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Pr>
    <w:rPr>
      <w:rFonts w:ascii="Times New Roman" w:hAnsi="Times New Roman" w:eastAsia="Times New Roman" w:cs="Times New Roman"/>
      <w:color w:val="000000"/>
      <w:sz w:val="24"/>
      <w:szCs w:val="24"/>
      <w:lang w:val="en-US" w:eastAsia="en-US" w:bidi="en-US"/>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unhideWhenUsed/>
    <w:qFormat/>
    <w:uiPriority w:val="0"/>
    <w:pPr>
      <w:ind w:firstLine="420" w:firstLineChars="200"/>
    </w:pPr>
  </w:style>
  <w:style w:type="paragraph" w:styleId="3">
    <w:name w:val="footer"/>
    <w:basedOn w:val="1"/>
    <w:link w:val="12"/>
    <w:qFormat/>
    <w:uiPriority w:val="0"/>
    <w:pPr>
      <w:tabs>
        <w:tab w:val="center" w:pos="4153"/>
        <w:tab w:val="right" w:pos="8306"/>
      </w:tabs>
      <w:snapToGrid w:val="0"/>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customStyle="1" w:styleId="7">
    <w:name w:val="_Style 1"/>
    <w:basedOn w:val="8"/>
    <w:qFormat/>
    <w:uiPriority w:val="1"/>
    <w:pPr>
      <w:adjustRightInd w:val="0"/>
      <w:snapToGrid w:val="0"/>
      <w:spacing w:line="620" w:lineRule="exact"/>
      <w:ind w:firstLine="200" w:firstLineChars="200"/>
    </w:pPr>
    <w:rPr>
      <w:rFonts w:cs="Times New Roman"/>
      <w:sz w:val="32"/>
      <w:szCs w:val="21"/>
    </w:rPr>
  </w:style>
  <w:style w:type="paragraph" w:customStyle="1" w:styleId="8">
    <w:name w:val="正文 New New New New New New New New New New New New New New New New New New New New New New New New New New New New New New New"/>
    <w:next w:val="7"/>
    <w:qFormat/>
    <w:uiPriority w:val="0"/>
    <w:pPr>
      <w:widowControl w:val="0"/>
      <w:jc w:val="both"/>
    </w:pPr>
    <w:rPr>
      <w:rFonts w:ascii="Calibri" w:hAnsi="Calibri" w:eastAsia="宋体" w:cs="黑体"/>
      <w:kern w:val="2"/>
      <w:sz w:val="21"/>
      <w:szCs w:val="22"/>
      <w:lang w:val="en-US" w:eastAsia="zh-CN" w:bidi="ar-SA"/>
    </w:rPr>
  </w:style>
  <w:style w:type="paragraph" w:customStyle="1" w:styleId="9">
    <w:name w:val="Body text|1"/>
    <w:basedOn w:val="1"/>
    <w:qFormat/>
    <w:uiPriority w:val="0"/>
    <w:pPr>
      <w:spacing w:line="439" w:lineRule="auto"/>
      <w:ind w:firstLine="400"/>
    </w:pPr>
    <w:rPr>
      <w:rFonts w:ascii="宋体" w:hAnsi="宋体" w:eastAsia="宋体" w:cs="宋体"/>
      <w:sz w:val="30"/>
      <w:szCs w:val="30"/>
      <w:lang w:val="zh-TW" w:eastAsia="zh-TW" w:bidi="zh-TW"/>
    </w:rPr>
  </w:style>
  <w:style w:type="paragraph" w:customStyle="1" w:styleId="10">
    <w:name w:val="正文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1">
    <w:name w:val="页眉 字符"/>
    <w:basedOn w:val="6"/>
    <w:link w:val="4"/>
    <w:qFormat/>
    <w:uiPriority w:val="0"/>
    <w:rPr>
      <w:rFonts w:eastAsia="Times New Roman"/>
      <w:color w:val="000000"/>
      <w:sz w:val="18"/>
      <w:szCs w:val="18"/>
      <w:lang w:eastAsia="en-US" w:bidi="en-US"/>
    </w:rPr>
  </w:style>
  <w:style w:type="character" w:customStyle="1" w:styleId="12">
    <w:name w:val="页脚 字符"/>
    <w:basedOn w:val="6"/>
    <w:link w:val="3"/>
    <w:qFormat/>
    <w:uiPriority w:val="0"/>
    <w:rPr>
      <w:rFonts w:eastAsia="Times New Roman"/>
      <w:color w:val="000000"/>
      <w:sz w:val="18"/>
      <w:szCs w:val="18"/>
      <w:lang w:eastAsia="en-US" w:bidi="en-U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仲恺高新技术开发区</Company>
  <Pages>9</Pages>
  <Words>3863</Words>
  <Characters>4435</Characters>
  <Lines>34</Lines>
  <Paragraphs>9</Paragraphs>
  <TotalTime>0</TotalTime>
  <ScaleCrop>false</ScaleCrop>
  <LinksUpToDate>false</LinksUpToDate>
  <CharactersWithSpaces>4475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2022-11-02T03:55:00Z</dcterms:created>
  <dc:creator>✨亮亮✨</dc:creator>
  <cp:lastModifiedBy>Administrator</cp:lastModifiedBy>
  <cp:lastPrinted>2022-12-17T11:49:00Z</cp:lastPrinted>
  <dcterms:modified xsi:type="dcterms:W3CDTF">2023-01-18T08:05:02Z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82BFE2C632C44A4E84303722F9A3A6E4</vt:lpwstr>
  </property>
</Properties>
</file>